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479C" w14:textId="77777777" w:rsidR="00327BCD" w:rsidRPr="001A5A84" w:rsidRDefault="00327BCD" w:rsidP="00327BCD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٧٩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معنی احیاء اموات و بینائی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A5A84">
        <w:rPr>
          <w:rFonts w:cs="Naskh MT for Bosch School"/>
          <w:b/>
          <w:bCs/>
          <w:color w:val="FF0000"/>
          <w:szCs w:val="28"/>
          <w:rtl/>
        </w:rPr>
        <w:t>و شنوائی</w:t>
      </w:r>
    </w:p>
    <w:p w14:paraId="2BD312DA" w14:textId="77777777" w:rsidR="00327BCD" w:rsidRDefault="00327BCD" w:rsidP="00327BC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B86ED3E" w14:textId="77777777" w:rsidR="00327BCD" w:rsidRDefault="00327BCD" w:rsidP="00327BC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لهذا اگر در کتب مقدسه ذکر احیای اموات است مقصد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بحیات ابدیه موفق شدند و یا آنکه کور بود بینا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مقصد ازین بینائی بصیرت حقیقیه است و یا آنکه کر بود شنوا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شد مقصد آنکه گوش روحانی یافت و بسمع ملکوتی موفق گشت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9D03" w14:textId="77777777" w:rsidR="00E76DEC" w:rsidRDefault="00E76DEC">
      <w:r>
        <w:separator/>
      </w:r>
    </w:p>
  </w:endnote>
  <w:endnote w:type="continuationSeparator" w:id="0">
    <w:p w14:paraId="11595B11" w14:textId="77777777" w:rsidR="00E76DEC" w:rsidRDefault="00E7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1AB0" w14:textId="77777777" w:rsidR="00E76DEC" w:rsidRDefault="00E76DEC">
      <w:r>
        <w:separator/>
      </w:r>
    </w:p>
  </w:footnote>
  <w:footnote w:type="continuationSeparator" w:id="0">
    <w:p w14:paraId="231B6286" w14:textId="77777777" w:rsidR="00E76DEC" w:rsidRDefault="00E7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6E6516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27BCD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27BCD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76DEC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2023-10-12T01:17:00Z</dcterms:modified>
  <dc:language>en-US</dc:language>
</cp:coreProperties>
</file>