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26CAA" w14:textId="77777777" w:rsidR="008006EC" w:rsidRPr="002A410F" w:rsidRDefault="008006EC" w:rsidP="008006EC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2A410F">
        <w:rPr>
          <w:rFonts w:cs="Naskh MT for Bosch School"/>
          <w:b/>
          <w:bCs/>
          <w:color w:val="FF0000"/>
          <w:szCs w:val="28"/>
          <w:rtl/>
        </w:rPr>
        <w:t>١٢٠</w:t>
      </w:r>
      <w:r w:rsidRPr="002A410F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2A410F">
        <w:rPr>
          <w:rFonts w:cs="Naskh MT for Bosch School"/>
          <w:b/>
          <w:bCs/>
          <w:color w:val="FF0000"/>
          <w:szCs w:val="28"/>
          <w:rtl/>
        </w:rPr>
        <w:t>حبسهای حضرت بهاءالله</w:t>
      </w:r>
      <w:r w:rsidRPr="002A410F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2A410F">
        <w:rPr>
          <w:rFonts w:cs="Naskh MT for Bosch School"/>
          <w:b/>
          <w:bCs/>
          <w:color w:val="FF0000"/>
          <w:szCs w:val="28"/>
          <w:rtl/>
        </w:rPr>
        <w:t>در ایران</w:t>
      </w:r>
    </w:p>
    <w:p w14:paraId="4D5F8E9F" w14:textId="77777777" w:rsidR="008006EC" w:rsidRDefault="008006EC" w:rsidP="008006EC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65EF53EF" w14:textId="77777777" w:rsidR="008006EC" w:rsidRDefault="008006EC" w:rsidP="008006EC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بهاءالله در لوحی است قوله الاعلی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الذی قبل البلایا کلها لاظهار امره و اعلاء کلمته قد حبس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مرة فی الطاء و اخری </w:t>
      </w:r>
      <w:r w:rsidRPr="002A410F">
        <w:rPr>
          <w:rFonts w:cs="Naskh MT for Bosch School"/>
          <w:szCs w:val="28"/>
          <w:rtl/>
        </w:rPr>
        <w:t>فی المیم ثم فی الطامرة اخری</w:t>
      </w:r>
    </w:p>
    <w:p w14:paraId="2973E06D" w14:textId="77777777" w:rsidR="008006EC" w:rsidRDefault="008006EC" w:rsidP="008006EC">
      <w:pPr>
        <w:bidi/>
        <w:jc w:val="both"/>
        <w:rPr>
          <w:rFonts w:cs="Naskh MT for Bosch School"/>
          <w:szCs w:val="28"/>
          <w:rtl/>
        </w:rPr>
      </w:pPr>
    </w:p>
    <w:p w14:paraId="5D757EF3" w14:textId="77777777" w:rsidR="008006EC" w:rsidRDefault="008006EC" w:rsidP="008006EC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( حبس اول در طهران مربوط بواقعه قتل حاجی ملا تقی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برغانی حبس دوم در مازندران مربوط بواقعه قلعه شیخ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طبرسی حبس سوم در طهران مربوط بواقعه رمی ناصر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الدینشاه )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1243B" w14:textId="77777777" w:rsidR="00AA07DF" w:rsidRDefault="00AA07DF">
      <w:r>
        <w:separator/>
      </w:r>
    </w:p>
  </w:endnote>
  <w:endnote w:type="continuationSeparator" w:id="0">
    <w:p w14:paraId="3F916E12" w14:textId="77777777" w:rsidR="00AA07DF" w:rsidRDefault="00AA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C881" w14:textId="77777777" w:rsidR="00AA07DF" w:rsidRDefault="00AA07DF">
      <w:r>
        <w:separator/>
      </w:r>
    </w:p>
  </w:footnote>
  <w:footnote w:type="continuationSeparator" w:id="0">
    <w:p w14:paraId="45694BCB" w14:textId="77777777" w:rsidR="00AA07DF" w:rsidRDefault="00AA0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98767CA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8006EC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8006EC"/>
    <w:rsid w:val="00A82770"/>
    <w:rsid w:val="00AA07DF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2023-10-12T03:36:00Z</dcterms:modified>
  <dc:language>en-US</dc:language>
</cp:coreProperties>
</file>