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359DA" w14:textId="77777777" w:rsidR="002315C4" w:rsidRPr="00250F01" w:rsidRDefault="002315C4" w:rsidP="002315C4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CB6883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٩٥</w:t>
      </w:r>
      <w:r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</w:rPr>
        <w:t xml:space="preserve"> - </w:t>
      </w:r>
      <w:r w:rsidRPr="00250F01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عرفان و محبّت اللّه و نیّت خیر</w:t>
      </w:r>
      <w:r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 xml:space="preserve"> </w:t>
      </w:r>
      <w:r w:rsidRPr="00901ABC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32"/>
          <w:szCs w:val="32"/>
          <w:rtl/>
        </w:rPr>
        <w:footnoteReference w:id="1"/>
      </w:r>
    </w:p>
    <w:p w14:paraId="138AF011" w14:textId="77777777" w:rsidR="002315C4" w:rsidRDefault="002315C4" w:rsidP="002315C4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542876FE" w14:textId="77777777" w:rsidR="002315C4" w:rsidRPr="0089717F" w:rsidRDefault="002315C4" w:rsidP="002315C4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A24054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نیز در مفاوضات است قوله الجمیل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به عرفان حق نور محبّت الله در زجاجۀ قلب بر افروزد و اشعّۀ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ساطعه‌اش آفاق را روشن نماید و وجود انسان را حیات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ملکوتی بخشد وفی الحقیقه نتجه وجود انسانی محبّة الله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است و محبّة الله روح حیات است و فیض ابدی است اگر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محبّة الله نبود عالم امکان ظلمانی بود اگر محبّت الله نبود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قلوب انسان مرده و محروم از احساسات وجدانی بود اگر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محبّة الله نبود کمالات عالم انسانی محو و نابود بود اگر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محبّة الله نبود ارتباط حقیقی در نشأۀ انسانی نبود اگر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محبّة الله نبود اتّحاد روحانی مفقود بود اگر محبّة الله نبود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نور وحدت عالم انسانی مخمود بود اگر محبّة الله نبود شرق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غرب مانند دو دلبر دست در آغوش یکدیگر نمی نمود اگر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محبّة الله نبود اختلاف و انشقاق بدل به ایتلاف نمیگشت ...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محبت عالم انسانی اشراقی از محبّة الله و جلوۀ از فیض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موهبة الله است .</w:t>
      </w:r>
    </w:p>
    <w:p w14:paraId="0B900B49" w14:textId="77777777" w:rsidR="002315C4" w:rsidRPr="00A24054" w:rsidRDefault="002315C4" w:rsidP="002315C4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A24054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lastRenderedPageBreak/>
        <w:t>و قوله الجلیل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نیّت خیر اساس اعمال خیریّه است ... نیّت خیریّه نور محض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است و از شوائب غرض و مکر و خدعه منزّه و مقدّس ولی ممکن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که انسان به ظاهر عمل مبروری مجری دارد ولی مبنی بر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اغراض نفسانی باشد ... اما نیّت خیریّه مقدّس ازین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شوائب ... باری بعد از عرفان الهی و ظهور محبّة الله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حصول انجذاب وجدانی و نیّت خیریّه اعمال مبرورة تامّ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کامل است والّا هر چند اعمال خیریّه ممدوح است ولی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بدون آنکه مستند به عرفان الهی و محبّت ربّانی و نیّت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صادقه باشد ناقص است .</w:t>
      </w:r>
    </w:p>
    <w:p w14:paraId="300D95BC" w14:textId="77777777" w:rsidR="002315C4" w:rsidRDefault="002315C4" w:rsidP="002315C4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14361934" w14:textId="77777777" w:rsidR="002315C4" w:rsidRPr="00337244" w:rsidRDefault="002315C4" w:rsidP="002315C4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A24054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از حضرت بهاءالله در لوحی است قوله الاعلی :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اگر عباد رشحی از محبّت الهی را ذوق نموده بودند واللّه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در بیت‌ها مقر نمی گرفتند بلکه در کوهها ناله مینمودند این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است که کل مشغول به حکمت شده‌اند یعنی به آنچه سبب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حفظ نفس امّاره میشود اگر قطرۀ از کأس محبّة الله میاشامیدند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البته صد هزار حکمت را بنار میسوختند .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63F07" w14:textId="77777777" w:rsidR="00904B30" w:rsidRDefault="00904B30">
      <w:r>
        <w:separator/>
      </w:r>
    </w:p>
  </w:endnote>
  <w:endnote w:type="continuationSeparator" w:id="0">
    <w:p w14:paraId="2A3E019F" w14:textId="77777777" w:rsidR="00904B30" w:rsidRDefault="00904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582A0" w14:textId="77777777" w:rsidR="00904B30" w:rsidRDefault="00904B30">
      <w:r>
        <w:separator/>
      </w:r>
    </w:p>
  </w:footnote>
  <w:footnote w:type="continuationSeparator" w:id="0">
    <w:p w14:paraId="0B15B3A7" w14:textId="77777777" w:rsidR="00904B30" w:rsidRDefault="00904B30">
      <w:r>
        <w:continuationSeparator/>
      </w:r>
    </w:p>
  </w:footnote>
  <w:footnote w:id="1">
    <w:p w14:paraId="7A719370" w14:textId="77777777" w:rsidR="002315C4" w:rsidRPr="00901ABC" w:rsidRDefault="002315C4" w:rsidP="002315C4">
      <w:pPr>
        <w:bidi/>
        <w:jc w:val="both"/>
        <w:rPr>
          <w:rFonts w:ascii="Naskh MT for Bosch School" w:hAnsi="Naskh MT for Bosch School" w:cs="Naskh MT for Bosch School"/>
          <w:sz w:val="20"/>
          <w:szCs w:val="20"/>
          <w:rtl/>
        </w:rPr>
      </w:pPr>
      <w:r w:rsidRPr="00901ABC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20"/>
          <w:szCs w:val="20"/>
        </w:rPr>
        <w:footnoteRef/>
      </w:r>
      <w:r w:rsidRPr="00901ABC">
        <w:rPr>
          <w:rFonts w:ascii="Naskh MT for Bosch School" w:hAnsi="Naskh MT for Bosch School" w:cs="Naskh MT for Bosch School"/>
          <w:b/>
          <w:bCs/>
          <w:color w:val="FF0000"/>
          <w:sz w:val="20"/>
          <w:szCs w:val="20"/>
        </w:rPr>
        <w:t xml:space="preserve"> </w:t>
      </w:r>
      <w:r w:rsidRPr="00901ABC">
        <w:rPr>
          <w:rFonts w:ascii="Naskh MT for Bosch School" w:hAnsi="Naskh MT for Bosch School" w:cs="Naskh MT for Bosch School" w:hint="cs"/>
          <w:b/>
          <w:bCs/>
          <w:color w:val="FF0000"/>
          <w:sz w:val="20"/>
          <w:szCs w:val="20"/>
          <w:rtl/>
        </w:rPr>
        <w:t xml:space="preserve">  </w:t>
      </w:r>
      <w:r w:rsidRPr="00901ABC">
        <w:rPr>
          <w:rFonts w:ascii="Naskh MT for Bosch School" w:hAnsi="Naskh MT for Bosch School" w:cs="Naskh MT for Bosch School"/>
          <w:sz w:val="20"/>
          <w:szCs w:val="20"/>
          <w:rtl/>
        </w:rPr>
        <w:t>فی القرآن المجید : کبر مقتاً عند اللّه ان تقولوا ما لا تفعلون .</w:t>
      </w:r>
      <w:r w:rsidRPr="00901ABC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901ABC">
        <w:rPr>
          <w:rFonts w:ascii="Naskh MT for Bosch School" w:hAnsi="Naskh MT for Bosch School" w:cs="Naskh MT for Bosch School"/>
          <w:sz w:val="20"/>
          <w:szCs w:val="20"/>
          <w:rtl/>
        </w:rPr>
        <w:t>روی عن النبی ص : انّه قال مررت لیلة اسری بی‌</w:t>
      </w:r>
      <w:r w:rsidRPr="00901ABC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901ABC">
        <w:rPr>
          <w:rFonts w:ascii="Naskh MT for Bosch School" w:hAnsi="Naskh MT for Bosch School" w:cs="Naskh MT for Bosch School"/>
          <w:sz w:val="20"/>
          <w:szCs w:val="20"/>
          <w:rtl/>
        </w:rPr>
        <w:t>بقوم تقرض</w:t>
      </w:r>
      <w:r w:rsidRPr="00901ABC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901ABC">
        <w:rPr>
          <w:rFonts w:ascii="Naskh MT for Bosch School" w:hAnsi="Naskh MT for Bosch School" w:cs="Naskh MT for Bosch School"/>
          <w:sz w:val="20"/>
          <w:szCs w:val="20"/>
          <w:rtl/>
        </w:rPr>
        <w:t>شفاههم بمقاریضٍ من نار فقلت مَن انتم فقالوا کنّا نأمر بالخیر</w:t>
      </w:r>
      <w:r w:rsidRPr="00901ABC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901ABC">
        <w:rPr>
          <w:rFonts w:ascii="Naskh MT for Bosch School" w:hAnsi="Naskh MT for Bosch School" w:cs="Naskh MT for Bosch School"/>
          <w:sz w:val="20"/>
          <w:szCs w:val="20"/>
          <w:rtl/>
        </w:rPr>
        <w:t>و لا نأیته و ننهی عن الشّر و نأتیه . و عن عمر بن خطاب قال</w:t>
      </w:r>
      <w:r w:rsidRPr="00901ABC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901ABC">
        <w:rPr>
          <w:rFonts w:ascii="Naskh MT for Bosch School" w:hAnsi="Naskh MT for Bosch School" w:cs="Naskh MT for Bosch School"/>
          <w:sz w:val="20"/>
          <w:szCs w:val="20"/>
          <w:rtl/>
        </w:rPr>
        <w:t>سمعت رسول اللّه ص یقول : انّما الاعمال بالنّیات و انّما لکلّ امرءٍ</w:t>
      </w:r>
      <w:r w:rsidRPr="00901ABC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901ABC">
        <w:rPr>
          <w:rFonts w:ascii="Naskh MT for Bosch School" w:hAnsi="Naskh MT for Bosch School" w:cs="Naskh MT for Bosch School"/>
          <w:sz w:val="20"/>
          <w:szCs w:val="20"/>
          <w:rtl/>
        </w:rPr>
        <w:t>ما نُوی فمن کانت هجرته الی الدّنیا یصیبها او الی امراة</w:t>
      </w:r>
      <w:r w:rsidRPr="00901ABC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901ABC">
        <w:rPr>
          <w:rFonts w:ascii="Naskh MT for Bosch School" w:hAnsi="Naskh MT for Bosch School" w:cs="Naskh MT for Bosch School"/>
          <w:sz w:val="20"/>
          <w:szCs w:val="20"/>
          <w:rtl/>
        </w:rPr>
        <w:t>ینکحها فهجرته الی ما هاجر الیه . رواه اَلبخاری و مسلم و</w:t>
      </w:r>
      <w:r w:rsidRPr="00901ABC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901ABC">
        <w:rPr>
          <w:rFonts w:ascii="Naskh MT for Bosch School" w:hAnsi="Naskh MT for Bosch School" w:cs="Naskh MT for Bosch School"/>
          <w:sz w:val="20"/>
          <w:szCs w:val="20"/>
          <w:rtl/>
        </w:rPr>
        <w:t>غیر هما و فی روایة زیادة . فمن کانت هجرته الی اللّه و رسوله</w:t>
      </w:r>
      <w:r w:rsidRPr="00901ABC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901ABC">
        <w:rPr>
          <w:rFonts w:ascii="Naskh MT for Bosch School" w:hAnsi="Naskh MT for Bosch School" w:cs="Naskh MT for Bosch School"/>
          <w:sz w:val="20"/>
          <w:szCs w:val="20"/>
          <w:rtl/>
        </w:rPr>
        <w:t>ثم عقّبها بالجملة الاخیرة و فی الحدیث نیّة المؤمن خیر من</w:t>
      </w:r>
      <w:r w:rsidRPr="00901ABC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901ABC">
        <w:rPr>
          <w:rFonts w:ascii="Naskh MT for Bosch School" w:hAnsi="Naskh MT for Bosch School" w:cs="Naskh MT for Bosch School"/>
          <w:sz w:val="20"/>
          <w:szCs w:val="20"/>
          <w:rtl/>
        </w:rPr>
        <w:t>عمله .</w:t>
      </w:r>
      <w:r w:rsidRPr="00901ABC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901ABC">
        <w:rPr>
          <w:rFonts w:ascii="Naskh MT for Bosch School" w:hAnsi="Naskh MT for Bosch School" w:cs="Naskh MT for Bosch School"/>
          <w:sz w:val="20"/>
          <w:szCs w:val="20"/>
          <w:rtl/>
        </w:rPr>
        <w:t>در علم کلام راجع به اصول عقاید اسلامیّه در حقیقت ایمان که</w:t>
      </w:r>
      <w:r w:rsidRPr="00901ABC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901ABC">
        <w:rPr>
          <w:rFonts w:ascii="Naskh MT for Bosch School" w:hAnsi="Naskh MT for Bosch School" w:cs="Naskh MT for Bosch School"/>
          <w:sz w:val="20"/>
          <w:szCs w:val="20"/>
          <w:rtl/>
        </w:rPr>
        <w:t>آیا همان معرفت است و یا مجرّد اقرار و اعتراف و ایا اقرار</w:t>
      </w:r>
      <w:r w:rsidRPr="00901ABC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901ABC">
        <w:rPr>
          <w:rFonts w:ascii="Naskh MT for Bosch School" w:hAnsi="Naskh MT for Bosch School" w:cs="Naskh MT for Bosch School"/>
          <w:sz w:val="20"/>
          <w:szCs w:val="20"/>
          <w:rtl/>
        </w:rPr>
        <w:t>بشرط معرفت و یا تصدیق بما جاء به النبی ص مطلقا و یا</w:t>
      </w:r>
      <w:r w:rsidRPr="00901ABC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901ABC">
        <w:rPr>
          <w:rFonts w:ascii="Naskh MT for Bosch School" w:hAnsi="Naskh MT for Bosch School" w:cs="Naskh MT for Bosch School"/>
          <w:sz w:val="20"/>
          <w:szCs w:val="20"/>
          <w:rtl/>
        </w:rPr>
        <w:t>بشطریّت و یا بشرطیت اقرار و اعتراف اقوالی است و نیز</w:t>
      </w:r>
      <w:r w:rsidRPr="00901ABC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901ABC">
        <w:rPr>
          <w:rFonts w:ascii="Naskh MT for Bosch School" w:hAnsi="Naskh MT for Bosch School" w:cs="Naskh MT for Bosch School"/>
          <w:sz w:val="20"/>
          <w:szCs w:val="20"/>
          <w:rtl/>
        </w:rPr>
        <w:t>معتزله ایمان را واجب عقلی و عقل را مدرک حسن ایمان</w:t>
      </w:r>
      <w:r w:rsidRPr="00901ABC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901ABC">
        <w:rPr>
          <w:rFonts w:ascii="Naskh MT for Bosch School" w:hAnsi="Naskh MT for Bosch School" w:cs="Naskh MT for Bosch School"/>
          <w:sz w:val="20"/>
          <w:szCs w:val="20"/>
          <w:rtl/>
        </w:rPr>
        <w:t>و قبح کفر و مدرک حسن اشیاء و احکام صالحه برای ناس</w:t>
      </w:r>
      <w:r w:rsidRPr="00901ABC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901ABC">
        <w:rPr>
          <w:rFonts w:ascii="Naskh MT for Bosch School" w:hAnsi="Naskh MT for Bosch School" w:cs="Naskh MT for Bosch School"/>
          <w:sz w:val="20"/>
          <w:szCs w:val="20"/>
          <w:rtl/>
        </w:rPr>
        <w:t>گفتند و اشاعره و غیر هم طریق امور مذکوره را شرع دانستند</w:t>
      </w:r>
      <w:r w:rsidRPr="00901ABC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901ABC">
        <w:rPr>
          <w:rFonts w:ascii="Naskh MT for Bosch School" w:hAnsi="Naskh MT for Bosch School" w:cs="Naskh MT for Bosch School"/>
          <w:sz w:val="20"/>
          <w:szCs w:val="20"/>
          <w:rtl/>
        </w:rPr>
        <w:t>و ابوحنیفه ایمان را قابل زیاده و نقصان و شافعیه غیر قابل</w:t>
      </w:r>
      <w:r w:rsidRPr="00901ABC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901ABC">
        <w:rPr>
          <w:rFonts w:ascii="Naskh MT for Bosch School" w:hAnsi="Naskh MT for Bosch School" w:cs="Naskh MT for Bosch School"/>
          <w:sz w:val="20"/>
          <w:szCs w:val="20"/>
          <w:rtl/>
        </w:rPr>
        <w:t>آن گفتند و ابوحنیفه عمل را از ایمان شمرده ولی شافعی</w:t>
      </w:r>
      <w:r w:rsidRPr="00901ABC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901ABC">
        <w:rPr>
          <w:rFonts w:ascii="Naskh MT for Bosch School" w:hAnsi="Naskh MT for Bosch School" w:cs="Naskh MT for Bosch School"/>
          <w:sz w:val="20"/>
          <w:szCs w:val="20"/>
          <w:rtl/>
        </w:rPr>
        <w:t>و احمد بن حنبل ایمان را مجموع تصدیق به جنان و اقرار</w:t>
      </w:r>
      <w:r w:rsidRPr="00901ABC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901ABC">
        <w:rPr>
          <w:rFonts w:ascii="Naskh MT for Bosch School" w:hAnsi="Naskh MT for Bosch School" w:cs="Naskh MT for Bosch School"/>
          <w:sz w:val="20"/>
          <w:szCs w:val="20"/>
          <w:rtl/>
        </w:rPr>
        <w:t>بلسان و عمل به ارکان گفتند و خوارج اتیان به معصیت صغیره</w:t>
      </w:r>
      <w:r w:rsidRPr="00901ABC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901ABC">
        <w:rPr>
          <w:rFonts w:ascii="Naskh MT for Bosch School" w:hAnsi="Naskh MT for Bosch School" w:cs="Naskh MT for Bosch School"/>
          <w:sz w:val="20"/>
          <w:szCs w:val="20"/>
          <w:rtl/>
        </w:rPr>
        <w:t>یا کبیره را موجب کفر گفتند و معتزله عاصی به معصیت کبیره</w:t>
      </w:r>
      <w:r w:rsidRPr="00901ABC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901ABC">
        <w:rPr>
          <w:rFonts w:ascii="Naskh MT for Bosch School" w:hAnsi="Naskh MT for Bosch School" w:cs="Naskh MT for Bosch School"/>
          <w:sz w:val="20"/>
          <w:szCs w:val="20"/>
          <w:rtl/>
        </w:rPr>
        <w:t>را فاسق و به منزلۀ بین المنزلتین نه مؤمن و نه کافر خواندند .</w:t>
      </w:r>
      <w:r w:rsidRPr="00901ABC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5B5540B9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2315C4">
      <w:rPr>
        <w:rFonts w:ascii="Naskh MT for Bosch School" w:hAnsi="Naskh MT for Bosch School" w:cs="Naskh MT for Bosch School" w:hint="cs"/>
        <w:color w:val="0000CC"/>
        <w:rtl/>
        <w:lang w:bidi="ar-JO"/>
      </w:rPr>
      <w:t>3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2315C4"/>
    <w:rsid w:val="00352151"/>
    <w:rsid w:val="00514B2C"/>
    <w:rsid w:val="00555B6C"/>
    <w:rsid w:val="006C0A81"/>
    <w:rsid w:val="006C4BCD"/>
    <w:rsid w:val="007822DB"/>
    <w:rsid w:val="00904B30"/>
    <w:rsid w:val="00A82770"/>
    <w:rsid w:val="00C171D1"/>
    <w:rsid w:val="00D13E64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character" w:styleId="FootnoteReference">
    <w:name w:val="footnote reference"/>
    <w:uiPriority w:val="99"/>
    <w:semiHidden/>
    <w:unhideWhenUsed/>
    <w:rsid w:val="002315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231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2023-10-27T02:36:00Z</dcterms:modified>
  <dc:language>en-US</dc:language>
</cp:coreProperties>
</file>