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F4A8" w14:textId="77777777" w:rsidR="005D2095" w:rsidRPr="00346C48" w:rsidRDefault="005D2095" w:rsidP="005D209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١٥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اذکار در مشرق الأذکار</w:t>
      </w:r>
    </w:p>
    <w:p w14:paraId="6718B788" w14:textId="77777777" w:rsidR="005D2095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45C8D4" w14:textId="77777777" w:rsidR="005D2095" w:rsidRPr="00D8096C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عَلِّموُا ذرّیاتِکم ما نُزّل مِنْ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العَظَمَةِ وَ الاقتدار لِیَقْرؤا الالواح الرّحمن بِاَحسَنِ الاَلْحانِ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فِی الغُرَفِ المُبْنیَّةِ فی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مشارق الأذکار ... طوبی لِمَنْ تَوَجَّهَ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مشرق الاذکار فی الاسحار ذاکراً متذکّراً مستغفراً</w:t>
      </w:r>
      <w:r w:rsidRPr="00C21A4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اذا دَخَلَ یَقْعُدُ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صامتاً لاصغاء آیات اللّه الملِکِ العزیز الحمید "</w:t>
      </w:r>
    </w:p>
    <w:p w14:paraId="2236407D" w14:textId="77777777" w:rsidR="005D2095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54BC3A" w14:textId="77777777" w:rsidR="005D2095" w:rsidRPr="00D8096C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922FD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922FD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ذکر در مشرق الاذکار فی الاسحار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. </w:t>
      </w:r>
      <w:r w:rsidRPr="00922FD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922FD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چه در کتاب الهی ذکر اسحار شده ولکن در اسحار و طلوع فجر و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طلوع فجر الی طلوع آفتاب و دو ساعت بعد از آن لدی اللّه مقبول است "</w:t>
      </w:r>
    </w:p>
    <w:p w14:paraId="4BC5B51E" w14:textId="77777777" w:rsidR="005D2095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3C70913A" w:rsidR="007822DB" w:rsidRPr="005D2095" w:rsidRDefault="005D2095" w:rsidP="005D209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همچنین در مشرق الاذکار دوستان الهی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متمسّکین بما نزّل فی کتابی الاقدس در اسحار توجّه به مشرق الاذکار مینمایند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بذکر محبوب عالمیان مشغول میشوند ایشان هم اگر در طلوع و بعد از طلوع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بساعتی مشغول شوند مقبول است حقّ در جمیع احوال راحت عباد را خواسته و ذکرش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بتمام روح و ریحان از ذاکری ظاهر شود محبوب و مقبول بوده و خواهد بود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 تنفّست بحبّ مولاه و طوبی لعبد ایقظته محبّة اللّه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</w:t>
      </w:r>
    </w:p>
    <w:sectPr w:rsidR="007822DB" w:rsidRPr="005D209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FBCE" w14:textId="77777777" w:rsidR="0048520B" w:rsidRDefault="0048520B">
      <w:r>
        <w:separator/>
      </w:r>
    </w:p>
  </w:endnote>
  <w:endnote w:type="continuationSeparator" w:id="0">
    <w:p w14:paraId="15C20F15" w14:textId="77777777" w:rsidR="0048520B" w:rsidRDefault="004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77CD" w14:textId="77777777" w:rsidR="0048520B" w:rsidRDefault="0048520B">
      <w:r>
        <w:separator/>
      </w:r>
    </w:p>
  </w:footnote>
  <w:footnote w:type="continuationSeparator" w:id="0">
    <w:p w14:paraId="6BD4C949" w14:textId="77777777" w:rsidR="0048520B" w:rsidRDefault="0048520B">
      <w:r>
        <w:continuationSeparator/>
      </w:r>
    </w:p>
  </w:footnote>
  <w:footnote w:id="1">
    <w:p w14:paraId="029EC221" w14:textId="77777777" w:rsidR="005D2095" w:rsidRPr="00922FD8" w:rsidRDefault="005D2095" w:rsidP="005D209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22FD8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خروس وار سحر خیز باش تا سر و تن</w:t>
      </w:r>
      <w:r>
        <w:rPr>
          <w:rFonts w:ascii="Naskh MT for Bosch School" w:hAnsi="Naskh MT for Bosch School" w:cs="Naskh MT for Bosch School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بتاج لعل و قبای چکن بیارائی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color w:val="FF0000"/>
          <w:rtl/>
        </w:rPr>
        <w:t>( کمال اسمعیل )</w:t>
      </w:r>
      <w:r w:rsidRPr="00922FD8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180D3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209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8520B"/>
    <w:rsid w:val="00514B2C"/>
    <w:rsid w:val="00555B6C"/>
    <w:rsid w:val="005D2095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95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95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5D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2023-10-18T04:49:00Z</dcterms:modified>
  <dc:language>en-US</dc:language>
</cp:coreProperties>
</file>