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0384" w14:textId="77777777" w:rsidR="005E1C6A" w:rsidRPr="005B0384" w:rsidRDefault="005E1C6A" w:rsidP="005E1C6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٤٣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مقام صلوة</w:t>
      </w:r>
    </w:p>
    <w:p w14:paraId="686387F5" w14:textId="77777777" w:rsidR="005E1C6A" w:rsidRDefault="005E1C6A" w:rsidP="005E1C6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63AD35" w14:textId="77777777" w:rsidR="005E1C6A" w:rsidRPr="00D8096C" w:rsidRDefault="005E1C6A" w:rsidP="005E1C6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01E4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از حضرت عبدالبهاء است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 همچنین باید بجمیع احکام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تکالیف و فرائض بجان و دل قیام نمائیم و اتَّبَعَوا ما اُمِروا به حبّاً لنفسک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صلوة اسّ اساس امر الهی است و سبب روح و حیات قلوب رحمانی اگر جمیع احزان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احاطه نماید چون بمناجات در صلوة مشغول گردیم کلّ غموم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زائل و روح و ریحان حاصل گردد ، حالتی دست دهد که وصف نتوانم و تعبیر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ندانم و چون در کمال تنبّه و خضوع و خشوع در نماز بین یدی اللّه قیام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نمائیم و مناجات صلوة را بکمال رقّت تلاوت نمائیم حلاوتی در مذاق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گردد که جمیع وجود حیات ابدیّه حاصل کند</w:t>
      </w:r>
      <w:r w:rsidRPr="00345DE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03F8A931" w14:textId="77777777" w:rsidR="005E1C6A" w:rsidRDefault="005E1C6A" w:rsidP="005E1C6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7F7598" w14:textId="77777777" w:rsidR="005E1C6A" w:rsidRPr="00D8096C" w:rsidRDefault="005E1C6A" w:rsidP="005E1C6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01E4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صلوة و صیام از اعظم فرائض این دور مقدّس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نفسی تأویل نماید و تهاون کند البتّه از چنین نفوس احتراز لازم و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فتور عظیم در دین اللّه حاصل گردد حصن حصین امر اللّه را از سهام بغض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کین چنین اشخاص محافظه نمود و الّا بکلّی اساس دین الهی منعدم گردد "</w:t>
      </w:r>
    </w:p>
    <w:p w14:paraId="35CF3C49" w14:textId="77777777" w:rsidR="005E1C6A" w:rsidRDefault="005E1C6A" w:rsidP="005E1C6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487DEE" w14:textId="77777777" w:rsidR="005E1C6A" w:rsidRPr="00D8096C" w:rsidRDefault="005E1C6A" w:rsidP="005E1C6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یار روحانی بدان که مناجات و صلوة فرض و واجب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از انسان هیچ عذری مقبول نه مگر آنکه مختلّ العقل یا دچار موانعی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فو‌ق العاده باشد "</w:t>
      </w:r>
    </w:p>
    <w:p w14:paraId="7A140340" w14:textId="77777777" w:rsidR="005E1C6A" w:rsidRDefault="005E1C6A" w:rsidP="005E1C6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CDAEC0" w14:textId="77777777" w:rsidR="005E1C6A" w:rsidRPr="00D8096C" w:rsidRDefault="005E1C6A" w:rsidP="005E1C6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01E4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نماز فرض و واجب بر کلّ البتّه جمیع را بصیام و صلوة دعوت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نمائید چه که معراج ارواح است و مفتاح قلوب ابرار ، آب حیوان جنّت رضوان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تکلیف منصوص از حضرت رحمن ، ابداً تأخیر و تهاون جائز نه "</w:t>
      </w:r>
    </w:p>
    <w:p w14:paraId="29B5E95F" w14:textId="77777777" w:rsidR="005E1C6A" w:rsidRDefault="005E1C6A" w:rsidP="005E1C6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C6B176" w14:textId="77777777" w:rsidR="005E1C6A" w:rsidRPr="00D8096C" w:rsidRDefault="005E1C6A" w:rsidP="005E1C6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01E4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تعلیم صلوة که صحیح بخوانند لازم است لهذا اعراب جائز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E4B6" w14:textId="77777777" w:rsidR="00AE7100" w:rsidRDefault="00AE7100">
      <w:r>
        <w:separator/>
      </w:r>
    </w:p>
  </w:endnote>
  <w:endnote w:type="continuationSeparator" w:id="0">
    <w:p w14:paraId="6A6DEBB9" w14:textId="77777777" w:rsidR="00AE7100" w:rsidRDefault="00AE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297E" w14:textId="77777777" w:rsidR="00AE7100" w:rsidRDefault="00AE7100">
      <w:r>
        <w:separator/>
      </w:r>
    </w:p>
  </w:footnote>
  <w:footnote w:type="continuationSeparator" w:id="0">
    <w:p w14:paraId="2FA61122" w14:textId="77777777" w:rsidR="00AE7100" w:rsidRDefault="00AE7100">
      <w:r>
        <w:continuationSeparator/>
      </w:r>
    </w:p>
  </w:footnote>
  <w:footnote w:id="1">
    <w:p w14:paraId="5B92CE70" w14:textId="77777777" w:rsidR="005E1C6A" w:rsidRPr="00E1567A" w:rsidRDefault="005E1C6A" w:rsidP="005E1C6A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E1567A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E1567A">
        <w:rPr>
          <w:rFonts w:ascii="Naskh MT for Bosch School" w:hAnsi="Naskh MT for Bosch School" w:cs="Naskh MT for Bosch School"/>
          <w:rtl/>
        </w:rPr>
        <w:t>عن الامام جعفر الصّادق قال قال رسول اللّه صلی اللّه علیه و آله مثل</w:t>
      </w:r>
      <w:r w:rsidRPr="00E1567A">
        <w:rPr>
          <w:rFonts w:ascii="Naskh MT for Bosch School" w:hAnsi="Naskh MT for Bosch School" w:cs="Naskh MT for Bosch School" w:hint="cs"/>
          <w:rtl/>
        </w:rPr>
        <w:t xml:space="preserve"> </w:t>
      </w:r>
      <w:r w:rsidRPr="00E1567A">
        <w:rPr>
          <w:rFonts w:ascii="Naskh MT for Bosch School" w:hAnsi="Naskh MT for Bosch School" w:cs="Naskh MT for Bosch School"/>
          <w:rtl/>
        </w:rPr>
        <w:t>الصّلوة مثل عمود الفسطاط اذا ثبت العمود نفعت الاطناب و الاوتاد و اذا انکسر</w:t>
      </w:r>
      <w:r w:rsidRPr="00E1567A">
        <w:rPr>
          <w:rFonts w:ascii="Naskh MT for Bosch School" w:hAnsi="Naskh MT for Bosch School" w:cs="Naskh MT for Bosch School" w:hint="cs"/>
          <w:rtl/>
        </w:rPr>
        <w:t xml:space="preserve"> </w:t>
      </w:r>
      <w:r w:rsidRPr="00E1567A">
        <w:rPr>
          <w:rFonts w:ascii="Naskh MT for Bosch School" w:hAnsi="Naskh MT for Bosch School" w:cs="Naskh MT for Bosch School"/>
          <w:rtl/>
        </w:rPr>
        <w:t>لا ینفع طُنُب و لا و تد و لا غشاء و عنه قال لا اعلم شیئاً بعد المعرفة افضل</w:t>
      </w:r>
      <w:r w:rsidRPr="00E1567A">
        <w:rPr>
          <w:rFonts w:ascii="Naskh MT for Bosch School" w:hAnsi="Naskh MT for Bosch School" w:cs="Naskh MT for Bosch School" w:hint="cs"/>
          <w:rtl/>
        </w:rPr>
        <w:t xml:space="preserve"> </w:t>
      </w:r>
      <w:r w:rsidRPr="00E1567A">
        <w:rPr>
          <w:rFonts w:ascii="Naskh MT for Bosch School" w:hAnsi="Naskh MT for Bosch School" w:cs="Naskh MT for Bosch School"/>
          <w:rtl/>
        </w:rPr>
        <w:t>من الصّلوة در حدیث نبوی است قرّة عینی فی الصّلوة و فیه تارک الصّلوة کافر بلا</w:t>
      </w:r>
      <w:r w:rsidRPr="00E1567A">
        <w:rPr>
          <w:rFonts w:ascii="Naskh MT for Bosch School" w:hAnsi="Naskh MT for Bosch School" w:cs="Naskh MT for Bosch School" w:hint="cs"/>
          <w:rtl/>
        </w:rPr>
        <w:t xml:space="preserve"> </w:t>
      </w:r>
      <w:r w:rsidRPr="00E1567A">
        <w:rPr>
          <w:rFonts w:ascii="Naskh MT for Bosch School" w:hAnsi="Naskh MT for Bosch School" w:cs="Naskh MT for Bosch School"/>
          <w:rtl/>
        </w:rPr>
        <w:t xml:space="preserve">شکّ لانّه مستخّف الشّرع و مکذّب له و من کان کذلک فهو کافر </w:t>
      </w:r>
      <w:r w:rsidRPr="00E1567A">
        <w:rPr>
          <w:rFonts w:ascii="Naskh MT for Bosch School" w:hAnsi="Naskh MT for Bosch School" w:cs="Naskh MT for Bosch School"/>
          <w:color w:val="FF0000"/>
          <w:rtl/>
        </w:rPr>
        <w:t>( مجمع البحرین )</w:t>
      </w:r>
      <w:r w:rsidRPr="00E1567A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3153E2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E1C6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E1C6A"/>
    <w:rsid w:val="006C0A81"/>
    <w:rsid w:val="006C4BCD"/>
    <w:rsid w:val="007822DB"/>
    <w:rsid w:val="00A82770"/>
    <w:rsid w:val="00AE710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C6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C6A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5E1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2023-10-18T06:16:00Z</dcterms:modified>
  <dc:language>en-US</dc:language>
</cp:coreProperties>
</file>