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05E6" w14:textId="77777777" w:rsidR="00504EE4" w:rsidRPr="000B1EF4" w:rsidRDefault="00504EE4" w:rsidP="00504EE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٦١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مشرق الاذکار</w:t>
      </w:r>
    </w:p>
    <w:p w14:paraId="7DB319C6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F0BD3C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1E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ملأ الانشاء عَمِّرُوا بیوتاً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بأکمَل ما یمکن فی الامکان باسم مالک الادیان وَ زَیِّنُوها بما ینبَغی لها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بالصّور و الامثال ثمَّ اذْکُرُوا فیها ربّکم الرّحمن بالرّوح و الرّیحان 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بذکره یستَنیرُ الصّدور و تقرّ الابصار .... قل مشرق الاذکار انّه کُلُّ بیتٍ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بُنی لذکری فی المُدُن و القری کذلک سُمِّی لَدَی العرش .... عَلّموا ذُرّیاتکم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نُزّل من سماء العظمة و الاقتدار لیقرؤوا الواح الرّحمن باحسن الالحان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الغرف المبنیّة فی مشارق الاذکار "</w:t>
      </w:r>
    </w:p>
    <w:p w14:paraId="60988DD2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85A820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1E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 حکم محکم در کتاب اقدس نازل ولکن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امور معلّق بحکمت است در هر حال باید بافق حکمت ناظر شد "</w:t>
      </w:r>
    </w:p>
    <w:p w14:paraId="3D8FB09D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773A78" w14:textId="77777777" w:rsidR="00504EE4" w:rsidRPr="00575BA7" w:rsidRDefault="00504EE4" w:rsidP="00504EE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 عاشقان روی حق دوستان را محفلی باید و مجمعی شاید که در آن مجامع و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بذکر و فکر حق و تلاوت و ترتیل آیات و آثار جمال مبارک روحی لاحبّائه الفداء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مشغول و مألوف گردند و انوار ملکوت ابهی و پرتو افق اعلی بر آن مجامع نوراء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بتابد و این محافل مشارق اذکار است که بقلم اعلی تعیین و مقرّر گردیده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در جمیع مدن و قراء تأسیس شود و چون تقرّر یابد مجامع خصوصی منسوخ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ولی حال چون مجامع عمومی در بلاد موءسّس نه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چه که سبب هیجان اشرار و تعرّض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فجّار گردد لهذا محافل خصوصی که عدد نفوس حاضره مطابق عدد مقدّس اسم اعظم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تأسیس گردد لا بأس فیه و مقصد از این آن است که در این محافل جمع کثیر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حاضر نگردد که بادی جزع و فزع و شیون جهلا گردد و این مجامع روحانی در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تنزیه و تقدیس ترتیب یابد تا از محلّ و ارض و هوایش نفحات قدس استشمام گردد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 قدم نظر بحکمت امریّه فرمودند که در بلاد حال بیش از عدد اسم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 در جائی اجتماع ننمایند موافق حکمت است مقصود این است که در شریعت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الهیّه محلّ عبادت و مجمع تلاوت عمومی مشرق الاذکار است و بس و او ناسخ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مجامع و محافل عبادتیّه ولی محافل معارف و مجامع خیریّه و مجالس شوریّه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محاضر نافعه نیز جایز بلکه لازم و واجب ولی حال نظر بحکمت کلّ از محذور خالی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لهذا باید حال به مجامع روحانیّه کفایت گردد و نمرهٴ اوّل این مجامع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خدمات را علی العجاله باید تکفّل نماید و احبّای الهی باید بجهة موادّ برّیهٴ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مجمع بقدر امکان معاونت نمایند تا ان شاء اللّه مشرق الاذکار در نهایت عظمت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جلال تأسیس شود آنوقت این موقّت منسوخ گردد و البهاء علیکم یا احبّاء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150AF9B8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1ABF70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مشرق الاذکار مغناطیس تأیید پروردگار است ،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الاذکار اُسّ اساس عظیم حضرت آمرزگار ، مشرق الاذکار رکن رکین آئین کردگار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مشرق الاذکار تأسیسش سبب اعلاء کلمة اللّه مشرق الاذکار تهلیل و تسبیحش مفرّح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قلوب هر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نیکو کار ، مشرق الاذکار نفحات قدسش روح بخش کلّ ابرار ، مشرق الاذکار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نسیم جان پرورش حیات بخش عموم احرار ، مشرق الاذکار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مصابیحش مانند نور صباح روشنی افاق است ، مشرق الاذکار آهنگش مفرّح ارواح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ملأ اعلی است ، مشرق الاذکار ترتیل آیات توحیدش سبب سرور و حبور اهل ملکوت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ابهی است ، الیوم اعظم امور و اتّم خدمات در آستان مقدّس الهی تأسیس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الاذکار است ولی نه بقسمی که مخالف حکمت واقع شود و سبب جزع و فزع ارباب غفلت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اسباب فساد و فتنه اهل ضلالت گردد درآن ارض در نهایت خفا علی العجاله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تأسیسش سبب روح و ریحان است و اگر حکمت اقتضاء ننماید که باین اسم آن محلّ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مسمّی باشد عنوان دیگری دهند و نام دیگری نهند مقصود این است که احبّای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در کمال حکمت در آن محلّ بنماز و عبادت پروردگار و ترتیل آیات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ترنیم قصائد و نعوت رحمانیّه مشغول گردند "</w:t>
      </w:r>
    </w:p>
    <w:p w14:paraId="5A2F2359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6BEA3E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ممکن بود که محلّی را ولو در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ستر مشرق الاذکار مینمودید بسیار موافق بود ولی در نهایت حکمت که مبادا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سبب فساد اهل عناد گردد و چون این امر عظیم در نهایت اهمیّت است بقدر امکان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قصور نباید نمود "</w:t>
      </w:r>
    </w:p>
    <w:p w14:paraId="10062F5B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8537FF0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خطابهٴ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این ایّام اهمیّت حاصل نموده است و فرض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عین گشته که در هر دهکده که دو نفر احبّا باشند باید مشرق الاذکار تعیین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ولو زیر زمین باشد تا در مستقبل نتائج مستحسنه مشاهده گردد "</w:t>
      </w:r>
    </w:p>
    <w:p w14:paraId="165FF7C7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B13BBF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مشرق الاذکار اعظم تأسیسات عالم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تفرّعاتش بسیار مشرق الاذکار اگر چه محلّ عبادت است ولکن مربوط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B5CB1">
        <w:rPr>
          <w:rFonts w:ascii="Naskh MT for Bosch School" w:hAnsi="Naskh MT for Bosch School" w:cs="Naskh MT for Bosch School"/>
          <w:sz w:val="32"/>
          <w:szCs w:val="32"/>
          <w:rtl/>
        </w:rPr>
        <w:t>باسپیتال و مریضخانه و عجزاء خانه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مسافر خانه و مکتب اطفال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ایتام و مدرسهٴ تأسیس علوم عالیّه است هر مشرق الاذکار مربوط باین پنج چیز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امیدوارم که در امریک حال مشرق الاذکار تأسیس شود و بتدریج اسپیتال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مکتب و م</w:t>
      </w:r>
      <w:r w:rsidRPr="006B5CB1">
        <w:rPr>
          <w:rFonts w:ascii="Naskh MT for Bosch School" w:hAnsi="Naskh MT for Bosch School" w:cs="Naskh MT for Bosch School"/>
          <w:sz w:val="32"/>
          <w:szCs w:val="32"/>
          <w:rtl/>
        </w:rPr>
        <w:t>درسه و عجزاء خانه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مسافر خانه نیز در نهایت انتظام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ترتیب یابد بیاران الهی این تفصیل را بفهمانید تا بدانند که مشرق الاذکار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چقدر مهّم است مجرّد عبارت از محلّ عبادت نیست بلکه از هر جهت مکمّل است "</w:t>
      </w:r>
    </w:p>
    <w:p w14:paraId="7C4DFFE6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5F21F3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نامهٴ امریکا است قوله الجمیل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مشرق الاذکار مدوّر و دائره شکل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٩ خیابان ٩ باغچه ٩ حوض با فوّاره‌های آب و ٩ دروازه در اطراف دارد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خیابانی به محلّی میرود مثل محلّ ایتام ، دار الشّفاء ، مدرسه ابتدائی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امثال اینها که از لوازم مشرق الاذکار است داخل مشرق الاذکار ارغنون و غرفات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خواهد بود و کرسی خطابه مخصوص مناجات و عبادت ولی خطابه هم در آنجا میتوان داد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و قوله الحکیم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" نغمات و اصوات در تلاوت آیات و مناجات نظم و نثر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ولی در امور غیر منصوصه مداخله نمیکنم هر وقت و هر چه بیت العدل عمومی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نماید آن میزان است "</w:t>
      </w:r>
    </w:p>
    <w:p w14:paraId="77A649CE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6A5E92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بآقا میرزا علی اکبر نخجوانی بادکوبه ، قوله المتین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الاذکار باید مقدّس از صندوق و خزانه باشد ولی در محلّی مخصوص بجهت اعانه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صندوقی گذاشته باشد بأسی نیست و این قرار راجع به بیت عدل عمومی است و نقود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صندوق اعانه باید بقرار داد بیت العدل صرف شود "</w:t>
      </w:r>
    </w:p>
    <w:p w14:paraId="28BACEE6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A00873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میر علی اصغر اسکوئی قوله المبین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تبدیل مشرق الاذکار بمحلّی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احسن و اعلی جائز تعدّد مشرق الاذکار در بلدهٴ واحده مقبول "</w:t>
      </w:r>
    </w:p>
    <w:p w14:paraId="1370F4C7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6B3754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سؤال از مساجد و صوامع و هیاکل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آنچه از مساجد و صوامع و هیاکل که مخصوص ذکر حق باشد ذکر غیر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آن جائز نه این است از حدود الهی و الّذی تجاوز انّه من المعتدین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بانی بأس نبوده و نیست چه که عمل او للّه بوده و باجر خود رسیده و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رسید</w:t>
      </w:r>
    </w:p>
    <w:p w14:paraId="7F3684D4" w14:textId="77777777" w:rsidR="00504EE4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92A7D5" w14:textId="77777777" w:rsidR="00504EE4" w:rsidRPr="00D8096C" w:rsidRDefault="00504EE4" w:rsidP="00504E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E0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سفر نامه اروپاست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اهل ادیان و اوطان و اجناس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ملل ترک تعصّبات باطله و امتیازات وهمیّه نمایند حتّی در معبدها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کنیسه‌های هر امّت و ملّتی بروند زیرا در جمیع کنائس و مساجد ذکر الهی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.... چه فرق است ما بین این معابد</w:t>
      </w:r>
      <w:r w:rsidRPr="000B1EF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87E9" w14:textId="77777777" w:rsidR="00A81A37" w:rsidRDefault="00A81A37">
      <w:r>
        <w:separator/>
      </w:r>
    </w:p>
  </w:endnote>
  <w:endnote w:type="continuationSeparator" w:id="0">
    <w:p w14:paraId="676046B9" w14:textId="77777777" w:rsidR="00A81A37" w:rsidRDefault="00A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77AB" w14:textId="77777777" w:rsidR="00A81A37" w:rsidRDefault="00A81A37">
      <w:r>
        <w:separator/>
      </w:r>
    </w:p>
  </w:footnote>
  <w:footnote w:type="continuationSeparator" w:id="0">
    <w:p w14:paraId="104D3232" w14:textId="77777777" w:rsidR="00A81A37" w:rsidRDefault="00A81A37">
      <w:r>
        <w:continuationSeparator/>
      </w:r>
    </w:p>
  </w:footnote>
  <w:footnote w:id="1">
    <w:p w14:paraId="3A3D8918" w14:textId="77777777" w:rsidR="00504EE4" w:rsidRPr="00575BA7" w:rsidRDefault="00504EE4" w:rsidP="00504EE4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575BA7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rtl/>
        </w:rPr>
        <w:t>ملخّص الرّوایة سئل الامام جعفر الصّادق عن الصّلوة فی البیع و الکنائس</w:t>
      </w:r>
      <w:r w:rsidRPr="00575BA7">
        <w:rPr>
          <w:rFonts w:ascii="Naskh MT for Bosch School" w:hAnsi="Naskh MT for Bosch School" w:cs="Naskh MT for Bosch School" w:hint="cs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rtl/>
        </w:rPr>
        <w:t xml:space="preserve">قال صلّ فیها قد رایتها ما انظفها قال </w:t>
      </w:r>
      <w:r w:rsidRPr="00575BA7">
        <w:rPr>
          <w:rFonts w:ascii="Naskh MT for Bosch School" w:hAnsi="Naskh MT for Bosch School" w:cs="Naskh MT for Bosch School" w:hint="cs"/>
          <w:rtl/>
        </w:rPr>
        <w:t>ل</w:t>
      </w:r>
      <w:r w:rsidRPr="00575BA7">
        <w:rPr>
          <w:rFonts w:ascii="Naskh MT for Bosch School" w:hAnsi="Naskh MT for Bosch School" w:cs="Naskh MT for Bosch School"/>
          <w:rtl/>
        </w:rPr>
        <w:t>یصّلی فیها و ان کانوا یصّلون فیها</w:t>
      </w:r>
      <w:r w:rsidRPr="00575BA7">
        <w:rPr>
          <w:rFonts w:ascii="Naskh MT for Bosch School" w:hAnsi="Naskh MT for Bosch School" w:cs="Naskh MT for Bosch School" w:hint="cs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rtl/>
        </w:rPr>
        <w:t>فقال نعم اما تقرء القران قل کلّ یعمل علی شاکلته فربّکم اعلم بما هو اهدی</w:t>
      </w:r>
      <w:r w:rsidRPr="00575BA7">
        <w:rPr>
          <w:rFonts w:ascii="Naskh MT for Bosch School" w:hAnsi="Naskh MT for Bosch School" w:cs="Naskh MT for Bosch School" w:hint="cs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rtl/>
        </w:rPr>
        <w:t xml:space="preserve">سبیلاً </w:t>
      </w:r>
      <w:r w:rsidRPr="00575BA7">
        <w:rPr>
          <w:rFonts w:ascii="Naskh MT for Bosch School" w:hAnsi="Naskh MT for Bosch School" w:cs="Naskh MT for Bosch School"/>
          <w:color w:val="FF0000"/>
          <w:rtl/>
        </w:rPr>
        <w:t>( تهذیب شیخ طوسی )</w:t>
      </w:r>
      <w:r w:rsidRPr="00575BA7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D8FA57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04EE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04EE4"/>
    <w:rsid w:val="00514B2C"/>
    <w:rsid w:val="00555B6C"/>
    <w:rsid w:val="006C0A81"/>
    <w:rsid w:val="006C4BCD"/>
    <w:rsid w:val="007822DB"/>
    <w:rsid w:val="00A81A3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EE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EE4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504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2023-10-19T05:33:00Z</dcterms:modified>
  <dc:language>en-US</dc:language>
</cp:coreProperties>
</file>