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78119" w14:textId="77777777" w:rsidR="00247F47" w:rsidRPr="002E0C85" w:rsidRDefault="00247F47" w:rsidP="00247F47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616E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٦٢</w:t>
      </w:r>
      <w:r w:rsidRPr="00C616E5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C616E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محارم</w:t>
      </w:r>
    </w:p>
    <w:p w14:paraId="4140497D" w14:textId="77777777" w:rsidR="00247F47" w:rsidRDefault="00247F47" w:rsidP="00247F4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A501D18" w14:textId="77777777" w:rsidR="00247F47" w:rsidRDefault="00247F47" w:rsidP="00247F4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75BA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اقدس قوله جلّ و عزّ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قد حُرِّمَتْ علیکم ازواج آبائکم "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  <w:p w14:paraId="4E791602" w14:textId="77777777" w:rsidR="00247F47" w:rsidRDefault="00247F47" w:rsidP="00247F4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64E20F9" w14:textId="77777777" w:rsidR="00247F47" w:rsidRPr="00D8096C" w:rsidRDefault="00247F47" w:rsidP="00247F4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75BA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کتاب بدیع است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علّت و سبب اعظم کدورت جمال ابهی از میرزا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یحیی و اللّه الّذی لا اله الّا هو این بوده که در حرم نقطه اولی روح ما سواه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فداه تصرّف نمود با اینکه در کلّ کتب سماوی حرام است</w:t>
      </w:r>
      <w:r w:rsidRPr="00FA5591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89511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</w:t>
      </w:r>
    </w:p>
    <w:p w14:paraId="4E53A68E" w14:textId="77777777" w:rsidR="00247F47" w:rsidRDefault="00247F47" w:rsidP="00247F4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A2974F7" w14:textId="77777777" w:rsidR="00247F47" w:rsidRPr="00D8096C" w:rsidRDefault="00247F47" w:rsidP="00247F4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285C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و در رساله سؤال و جواب است :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" </w:t>
      </w:r>
      <w:r w:rsidRPr="000F14FD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سؤال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از حلّیت و حرمت نکاح اقارب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F14FD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جواب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این امور هم بامنای بیت العدل راجع است "</w:t>
      </w:r>
    </w:p>
    <w:p w14:paraId="237930B4" w14:textId="77777777" w:rsidR="00247F47" w:rsidRDefault="00247F47" w:rsidP="00247F4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B4E1E5D" w14:textId="77777777" w:rsidR="00247F47" w:rsidRPr="00D8096C" w:rsidRDefault="00247F47" w:rsidP="00247F4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285C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در خطابی است</w:t>
      </w:r>
      <w:r w:rsidRPr="00285C2A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در خصوص حرمت نکاح پسر بزوجات پدر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مرقوم نموده بودید صراحت این حکم دلیل بر اباحت دیگران نه مثلاً در قرآن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می‌فرماید حرّم علیکم المیّته و الدّم و لحم الخنزیر این دلیل بر آن نیست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خمر حرام نیست و در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الواح سائره بصریح عبارت مرقوم که در ازدواج حکمت الهیّه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چنان اقتضا نماید که از جنس بعید باشد بین زوجین هر چند بعد بیشتر سلاله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قویتر و خوش سیماتر صحّت و عافیت بهتر گردد و این در فن طبّ نیز مسلّم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محقّق است و احکام طبیّه مشروع و عمل بموجب آن منصوص و فرض لهذا تا تواند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انسان باید خویشی به جنس بعید نماید و چون امر بهائی قوّت گیرد مطمئن باشید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که ازدواج بأقربا نیز نادر الوقوع و در این خصوص مکاتیب متعدّده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مرقوم گردید از جمله مکتوب مفصّلی است چند سال پیش ببادکوبه مرقوم شد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.... و قبل از تشکیل بیت عدل این احکام راجع بمرکز منصوص است "</w:t>
      </w:r>
    </w:p>
    <w:p w14:paraId="7EEFBFBB" w14:textId="77777777" w:rsidR="00247F47" w:rsidRDefault="00247F47" w:rsidP="00247F4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E9B6324" w14:textId="77777777" w:rsidR="00247F47" w:rsidRPr="00D8096C" w:rsidRDefault="00247F47" w:rsidP="00247F4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285C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خطاب بصدر فریدنی است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ای بندهٴ بهاء از طبقات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محرّمات سوّال نموده بودید رجوع بآیات نمائید و تا بیت عدل عمومی تشکیل نیابد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متفرّعات بیان نگردد مرهون بآن یوم است ولی در اقتران هر چه دورتر موافقتر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زیرا بعد نسبی و خویشی بین زوج و زوجه مدار صحّت بنیهٴ بشر و اسباب الفت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بین نوع انسانی است "</w:t>
      </w:r>
    </w:p>
    <w:p w14:paraId="3A373FCF" w14:textId="77777777" w:rsidR="00247F47" w:rsidRDefault="00247F47" w:rsidP="00247F4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497B8F8" w14:textId="77777777" w:rsidR="00247F47" w:rsidRPr="00D8096C" w:rsidRDefault="00247F47" w:rsidP="00247F4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285C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خطابی دیگر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اقتران اقارب غیر منصوص راجع به بیت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العدل است که بقواعد مدنیّه و مقتضای طبّ و حکمت و استعداد طبیعت بشریه قراری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دهند و شبهه‌ای نیست که بقواعد مدنیّه و طبابت وصلت جنس بعید اقرب از جنس قریب "</w:t>
      </w:r>
    </w:p>
    <w:p w14:paraId="7B9FFAF3" w14:textId="77777777" w:rsidR="00247F47" w:rsidRDefault="00247F47" w:rsidP="00247F4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36B3C08" w14:textId="77777777" w:rsidR="00247F47" w:rsidRPr="00D8096C" w:rsidRDefault="00247F47" w:rsidP="00247F4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285C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نیز از حضرت عبدالبهاء در خطابی بفائزه خانم است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چندی قبل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سؤال از جمع بین الاختین نموده بودید جواب مرقوم گردید ولی حال مکتوبی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از آقا میرزا نعمت اللّه رسید تکرار و سؤال نمود که جواب نرسیده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مکرّر مرقوم میگردد که جمع بین اختین در وقت واحد جائز نه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45A56" w14:textId="77777777" w:rsidR="0024774E" w:rsidRDefault="0024774E">
      <w:r>
        <w:separator/>
      </w:r>
    </w:p>
  </w:endnote>
  <w:endnote w:type="continuationSeparator" w:id="0">
    <w:p w14:paraId="1D2FB4FB" w14:textId="77777777" w:rsidR="0024774E" w:rsidRDefault="0024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941C8" w14:textId="77777777" w:rsidR="0024774E" w:rsidRDefault="0024774E">
      <w:r>
        <w:separator/>
      </w:r>
    </w:p>
  </w:footnote>
  <w:footnote w:type="continuationSeparator" w:id="0">
    <w:p w14:paraId="247F30F3" w14:textId="77777777" w:rsidR="0024774E" w:rsidRDefault="0024774E">
      <w:r>
        <w:continuationSeparator/>
      </w:r>
    </w:p>
  </w:footnote>
  <w:footnote w:id="1">
    <w:p w14:paraId="03EACD36" w14:textId="77777777" w:rsidR="00247F47" w:rsidRPr="000F14FD" w:rsidRDefault="00247F47" w:rsidP="00247F47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highlight w:val="yellow"/>
          <w:rtl/>
        </w:rPr>
      </w:pPr>
      <w:r w:rsidRPr="000F14F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footnoteRef/>
      </w:r>
      <w:r w:rsidRPr="000F14FD">
        <w:rPr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t xml:space="preserve"> </w:t>
      </w:r>
      <w:r w:rsidRPr="000F14FD">
        <w:rPr>
          <w:rFonts w:ascii="Naskh MT for Bosch School" w:hAnsi="Naskh MT for Bosch School" w:cs="Naskh MT for Bosch School" w:hint="cs"/>
          <w:b/>
          <w:bCs/>
          <w:color w:val="FF0000"/>
          <w:sz w:val="20"/>
          <w:szCs w:val="20"/>
          <w:rtl/>
        </w:rPr>
        <w:t xml:space="preserve">  </w:t>
      </w:r>
      <w:r w:rsidRPr="000F14FD">
        <w:rPr>
          <w:rFonts w:ascii="Naskh MT for Bosch School" w:hAnsi="Naskh MT for Bosch School" w:cs="Naskh MT for Bosch School"/>
          <w:sz w:val="20"/>
          <w:szCs w:val="20"/>
          <w:rtl/>
        </w:rPr>
        <w:t>در قرآن است قوله تع : و لا تنکحوا ما نکح آبائکم من النّساء الّا ما قد</w:t>
      </w:r>
      <w:r w:rsidRPr="000F14FD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F14FD">
        <w:rPr>
          <w:rFonts w:ascii="Naskh MT for Bosch School" w:hAnsi="Naskh MT for Bosch School" w:cs="Naskh MT for Bosch School"/>
          <w:sz w:val="20"/>
          <w:szCs w:val="20"/>
          <w:rtl/>
        </w:rPr>
        <w:t>سلف انّه کان فاحشةً و مقتاً و ساء سبیلاً حرّمت علیکم امّهاتکم و بناتکم و</w:t>
      </w:r>
      <w:r w:rsidRPr="000F14FD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F14FD">
        <w:rPr>
          <w:rFonts w:ascii="Naskh MT for Bosch School" w:hAnsi="Naskh MT for Bosch School" w:cs="Naskh MT for Bosch School"/>
          <w:sz w:val="20"/>
          <w:szCs w:val="20"/>
          <w:rtl/>
        </w:rPr>
        <w:t>اخواتکم و عمّاتکم و خالاتکم و بنات الاخ و بنات الاخت و امّهاتکم اللّاتی</w:t>
      </w:r>
      <w:r w:rsidRPr="000F14FD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F14FD">
        <w:rPr>
          <w:rFonts w:ascii="Naskh MT for Bosch School" w:hAnsi="Naskh MT for Bosch School" w:cs="Naskh MT for Bosch School"/>
          <w:sz w:val="20"/>
          <w:szCs w:val="20"/>
          <w:rtl/>
        </w:rPr>
        <w:t>ارضعنکم و اخواتکم من الرّضاعة و امّهات نسائکم و ربّائیکم اللّاتی فی حجورکم</w:t>
      </w:r>
      <w:r w:rsidRPr="000F14FD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F14FD">
        <w:rPr>
          <w:rFonts w:ascii="Naskh MT for Bosch School" w:hAnsi="Naskh MT for Bosch School" w:cs="Naskh MT for Bosch School"/>
          <w:sz w:val="20"/>
          <w:szCs w:val="20"/>
          <w:rtl/>
        </w:rPr>
        <w:t>من نسائکم اللّاتی دخلتم بهنّ فان لم تکونوا دخلتم بهنّ فلا جناح علیکم و</w:t>
      </w:r>
      <w:r w:rsidRPr="000F14FD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F14FD">
        <w:rPr>
          <w:rFonts w:ascii="Naskh MT for Bosch School" w:hAnsi="Naskh MT for Bosch School" w:cs="Naskh MT for Bosch School"/>
          <w:sz w:val="20"/>
          <w:szCs w:val="20"/>
          <w:rtl/>
        </w:rPr>
        <w:t>حلائل ابنائکم الّذین من اصلابکم و ان تجمعوا بین الاختین الّا ما قد سلف انّ</w:t>
      </w:r>
      <w:r w:rsidRPr="000F14FD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F14FD">
        <w:rPr>
          <w:rFonts w:ascii="Naskh MT for Bosch School" w:hAnsi="Naskh MT for Bosch School" w:cs="Naskh MT for Bosch School"/>
          <w:sz w:val="20"/>
          <w:szCs w:val="20"/>
          <w:rtl/>
        </w:rPr>
        <w:t>اللّه کان غفوراً رحیماً و المحصّنات من النّساء الّا ما ملکت ایمانکم کتاب</w:t>
      </w:r>
      <w:r w:rsidRPr="000F14FD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F14FD">
        <w:rPr>
          <w:rFonts w:ascii="Naskh MT for Bosch School" w:hAnsi="Naskh MT for Bosch School" w:cs="Naskh MT for Bosch School"/>
          <w:sz w:val="20"/>
          <w:szCs w:val="20"/>
          <w:rtl/>
        </w:rPr>
        <w:t>اللّه و احلّ لکم ما وراء ذلکم و قوله : " و ما کان لکم ان تؤذّوا رسول اللّه و لا</w:t>
      </w:r>
      <w:r w:rsidRPr="000F14FD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F14FD">
        <w:rPr>
          <w:rFonts w:ascii="Naskh MT for Bosch School" w:hAnsi="Naskh MT for Bosch School" w:cs="Naskh MT for Bosch School"/>
          <w:sz w:val="20"/>
          <w:szCs w:val="20"/>
          <w:rtl/>
        </w:rPr>
        <w:t>ان تنکحوا ازواجه و قوله : النّبی اولی بمؤمنین من انفسهم و ازواجه امّهاتهم</w:t>
      </w:r>
      <w:r w:rsidRPr="000F14FD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F14FD">
        <w:rPr>
          <w:rFonts w:ascii="Naskh MT for Bosch School" w:hAnsi="Naskh MT for Bosch School" w:cs="Naskh MT for Bosch School"/>
          <w:sz w:val="20"/>
          <w:szCs w:val="20"/>
          <w:rtl/>
        </w:rPr>
        <w:t>و در سفر تثنیه تورات اصحاح ٢٧ : ملعون من یضطجع مع امرأة ابیه</w:t>
      </w:r>
      <w:r w:rsidRPr="000F14FD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8EAA4B7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247F47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24774E"/>
    <w:rsid w:val="00247F47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247F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2023-10-19T05:33:00Z</dcterms:modified>
  <dc:language>en-US</dc:language>
</cp:coreProperties>
</file>