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438E" w14:textId="77777777" w:rsidR="00EF1E56" w:rsidRPr="00D8096C" w:rsidRDefault="00EF1E56" w:rsidP="00EF1E5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٧٣</w:t>
      </w:r>
      <w:r w:rsidRPr="006D084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حرمت متعه</w:t>
      </w:r>
      <w:r w:rsidRPr="006D084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highlight w:val="yellow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2087F2B" w14:textId="77777777" w:rsidR="00EF1E56" w:rsidRDefault="00EF1E56" w:rsidP="00EF1E5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0373A2" w14:textId="77777777" w:rsidR="00EF1E56" w:rsidRPr="00D8096C" w:rsidRDefault="00EF1E56" w:rsidP="00EF1E5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C40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در خطابی است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امّا الازدواج الموقّت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حرّمه اللّه فی هذا الکور المقدّس و مَنَعَ النّفوس عن الهوی حتّی یرتدّوا برداء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التّقوی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985D" w14:textId="77777777" w:rsidR="0039723A" w:rsidRDefault="0039723A">
      <w:r>
        <w:separator/>
      </w:r>
    </w:p>
  </w:endnote>
  <w:endnote w:type="continuationSeparator" w:id="0">
    <w:p w14:paraId="23D829B8" w14:textId="77777777" w:rsidR="0039723A" w:rsidRDefault="0039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55C4" w14:textId="77777777" w:rsidR="0039723A" w:rsidRDefault="0039723A">
      <w:r>
        <w:separator/>
      </w:r>
    </w:p>
  </w:footnote>
  <w:footnote w:type="continuationSeparator" w:id="0">
    <w:p w14:paraId="3D5FEAD1" w14:textId="77777777" w:rsidR="0039723A" w:rsidRDefault="0039723A">
      <w:r>
        <w:continuationSeparator/>
      </w:r>
    </w:p>
  </w:footnote>
  <w:footnote w:id="1">
    <w:p w14:paraId="3E77CD9E" w14:textId="77777777" w:rsidR="00EF1E56" w:rsidRPr="000F14FD" w:rsidRDefault="00EF1E56" w:rsidP="00EF1E56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1F0F7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فی الحدیث عن علی ع : لولا ما سبقنی الیه ابن الخطّاب ما زنی من النّاس الّا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سفا ای الّا قلیل .... و المراد بما سبقه تحریم المتعه فانّه هو الذی حرّمها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بعد رسول اللّه ص و لم تکن محرّمة فی زمانه ص و لا فی زمان الاوّل من الخلفاء و مثله حدیث ابن عبّاس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ما کانت المتعة الّا رحمة رحم اللّه بها امّة محمّد ص فلولا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نهیه ما احتاج الی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 xml:space="preserve">الزّنا الّا الاشقی </w:t>
      </w:r>
      <w:r w:rsidRPr="001F0F75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کتاب مجمع البحرین )</w:t>
      </w:r>
      <w:r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عامّهٴ اهل اسلام معتقدند که متعه در ایّام حضرت پیغمبر مشروع و جاری بود و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آیه قرآنیّه فما استمتعتم به منهنّ فآتوهنّ اجورهنّ را از معدودی صحابه روایت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کردند که فیما استمتعتم به منهنّ الی اجل مسمّی قرائت کردند و آن آیه را راجع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بمتعه گرفتند ولی روایات منقوله در عدّه‌ای اصحاب بطور اختلاف برخی دلالت کنند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که در یوم خبیر نسخ شد و بعضی مقرّند که در حجّة الوداع نسخ گردید و معدودی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دلالات که تا آخر ایّام پیمبر و نیز در ایّام ابوبکر و قسمتی از ایّام عمر هم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جاری بود بلکه بعضی از آنها صراحت در عدم نسخ در زمان پیمبر دارد و کلام معروف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عمر است متعتان کانتا علی عهد رسول اللّه حلالاً انا انهی عنهما و اعاقب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علیهما و ذکری از نسخ در زمان پیمبر نکرد و شیعیان از حضرت علی کلامی بعلیه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این نهی عمر حکایت کردند و علی ایّ حال در زمن ائمّهٴ تشیّع معمول بود و اجماع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علمای شیعه بر استمرار آن وقوع داشت و محدود بعددی هم نبود و این یکی از موارد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شهیرهٴ اختلاف و تمایز بین اهل سنّت و بین شیعه قرار گرفت .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و در فقه اسلامی وقوع عقد دائم بدون ذکر هم میشود و در صورت زفاف باید مهر المثل ادا گردد و دو طرف اقلّ و اکثر مهر محدود بحدّی نیست ولی سنّة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sz w:val="20"/>
          <w:szCs w:val="20"/>
          <w:rtl/>
        </w:rPr>
        <w:t>النّبی ص را مقدار پانصد در هم تعیین کردند</w:t>
      </w:r>
      <w:r w:rsidRPr="001F0F75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9086C6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F1E5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9723A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F1E56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EF1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2023-10-19T05:38:00Z</dcterms:modified>
  <dc:language>en-US</dc:language>
</cp:coreProperties>
</file>