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02F5" w14:textId="77777777" w:rsidR="000B114D" w:rsidRPr="00404738" w:rsidRDefault="000B114D" w:rsidP="000B114D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6D0846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٧٨</w:t>
      </w:r>
      <w:r w:rsidRPr="006D0846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D0846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زوجه در احوال مختلفه شوهر در سفر</w:t>
      </w:r>
    </w:p>
    <w:p w14:paraId="0BF643F4" w14:textId="77777777" w:rsidR="000B114D" w:rsidRDefault="000B114D" w:rsidP="000B114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1999E0B" w14:textId="59493BDE" w:rsidR="000B114D" w:rsidRPr="00D8096C" w:rsidRDefault="000B114D" w:rsidP="000B114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8521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است قوله عزّ و علا :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و الّذی سافَرَ و سافَرَتْ معه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ثُمَّ حدَثَ بینهما الاختلاف فَلَه اَنْ یُؤْتیها نَفَقَ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>ة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سَنَةٍ کاملة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یرْجِعَها الی مقرّ الّذی خَرَجَتْ عنه اَوْ یُسَلّمِها بیَدِ اَمینٍ و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تحتاج به فی السّبیل لیبلّغها الی محلّها ....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قَدْ کَتَبَ اللّهُ لِکلِّ عبدٍ اَرادَ الخروج مِنْ وطنه اَنْ یَجْعَلَ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میقاتاً لصاحبته فی ایّةِ مدّةٍ ارادَ اِنْ اتی و وفی بالوعد انّه اتّبع 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مولاه و کان من المحسنین من قلم الامر مکتوبا و الّا اِنِ اعْتَذَرَ بِعُذْر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حقیقیٍّ فَلَهُ ان یُخبر قرینته و یکونَ فی غایة الجَهد للرّجوع الیها و 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فات الامر ان فلها تربّص تسعة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اشهر معدودات و بعد اکمالها لا بأس علیها فی اختیار الزّوج وَ اِنْ صَبَرتْ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انّه یحبّ الصّابرات و الصّابرین اعملوا اوامری و لا تتّبعوا کلّ مشرک کان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فی اللّوح اثیماً و ان اتی االخبر حین تربّصها لَها اَنْ تَأخُذَ المعروف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انّه اراد الاصلاح بین العباد و 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>ا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ماء ایّاکم اَنْ ترتکبوا ما یَحْدُثَ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العناد بینکم کذلک قُضی الامر و کان الوعد مأتّیاً وَ اِنْ اتاها خبر الموت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او القتل و ثَبَتَ بالشّیاع او بالعدلین لها ان تَلْبِثَ فی البیت اذا مَضَتْ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اشهرٌ معدوداتٌ له الاختیار فی ما تختار</w:t>
      </w:r>
      <w:r w:rsidRPr="00F36125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F36125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هذا ما حکم به من کان علی الامر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قویّاً "</w:t>
      </w:r>
    </w:p>
    <w:p w14:paraId="7D50BA86" w14:textId="77777777" w:rsidR="000B114D" w:rsidRDefault="000B114D" w:rsidP="000B114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D109F2B" w14:textId="77777777" w:rsidR="000B114D" w:rsidRPr="00D8096C" w:rsidRDefault="000B114D" w:rsidP="000B114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B0DB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 سؤال و جواب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اینکه سؤال فرمودند که هر گاه نفسی بسفر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رود و از اوّل میقات معیّن ننماید و مفقود الخبر و الأثر شود تکلیف ضلع چیست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هذا ما نزل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من سماء عنایة ربّنا الوهّاب فی الجواب اگر میقات مقرّره در کتاب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الهی را استماع نموده و ترک آن کرده لها تربّص سنة کاملة و بعد لها الاختیار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فی المعروف او باتّخاذ الزّوج و اگر نشنیده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لها التربّص الی ان یظهر اللّه امره و مقصود در این مقام اصطبار است انتهی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.... بر هر نفسی لازم حین خروج از وطن با قرین خود میقاتی از برای سفر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معیّن نماید و میقات را هر قدر معیّن نماید مجری و ممضی است اگر در رأس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میقات راجع شد قد وفی بالوعد و اتّبع حکم مولاه و اگر در راس میقات راجع نشد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بعد از تعیین متعذّر آمد یعنی در رجوع مانعی بهم رسید که فی الحقیقه ممنوع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شد باید خبر بفرستد و کمال جهد نماید در رجوع اگر در راس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میقات راجع نشد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خبر هم نفرستاد تربّص نه شهر بر ضلع لازم و بعد اگر بخواهد زوج اختیار کند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لا بأس علیها و باید نفقه ضلع در این مدّت معیّنه برسد و اگر شخص سفر نماید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خبر موت یا شهادت او برسد اثبات این فقره معلّق بشهادت عدلین یا شیوع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بعد از ثبوت و انقضای تسعة اشهر ضلع در اتّخاذ زوج مصاب "</w:t>
      </w:r>
    </w:p>
    <w:p w14:paraId="21B6F6A3" w14:textId="77777777" w:rsidR="000B114D" w:rsidRDefault="000B114D" w:rsidP="000B114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3207FAB" w14:textId="77777777" w:rsidR="000B114D" w:rsidRPr="0038521F" w:rsidRDefault="000B114D" w:rsidP="000B114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38521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در خطابی بجواب سؤال میرزا سیاوش بدین مضمون که با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8521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أرزان بودن مهر و امکان تربّص یکسال و ترک زوجه و اقدام سفر و غیرها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8521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نو هوسان شاید پیوسته تجدید فراش و طلاق و تفریق کنند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 مقرّب درگاه کبریاء نامه تو رسید فی الحقیقه آنچه بفکر تو آمده سزوار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ستایش و تفکّر است البتّه چنین نفوس بیوفائی بندرت خواهند شد که مرتکب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چنین امر فظیعی گردند بیت العدل بعد از تشکیل در این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خصوص تشریعی نمایند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حقّ این اشخاص زجر شدید مجری دارند و چنین امر فظیعی را جرم کبیر شمارند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این حکم مذکور در حقّ نفوسی است محرم و از اهل دانش و فرهنگ نه مجرم بینام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ننگ که مانند حیوانات وحشیه‌اند چنین نفوس را حال باید یاران طرد نمایند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ابداً در محافل و مجالس خویش راه ندهند تا بیت عدل تشکیل شود و در حقّ آنان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زجر شدید تشریع گردد و علیک البهاء الأبهی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DEFAA" w14:textId="77777777" w:rsidR="00FC7FB2" w:rsidRDefault="00FC7FB2">
      <w:r>
        <w:separator/>
      </w:r>
    </w:p>
  </w:endnote>
  <w:endnote w:type="continuationSeparator" w:id="0">
    <w:p w14:paraId="04DDB07E" w14:textId="77777777" w:rsidR="00FC7FB2" w:rsidRDefault="00FC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A9026" w14:textId="77777777" w:rsidR="00FC7FB2" w:rsidRDefault="00FC7FB2">
      <w:r>
        <w:separator/>
      </w:r>
    </w:p>
  </w:footnote>
  <w:footnote w:type="continuationSeparator" w:id="0">
    <w:p w14:paraId="1B57D0EF" w14:textId="77777777" w:rsidR="00FC7FB2" w:rsidRDefault="00FC7FB2">
      <w:r>
        <w:continuationSeparator/>
      </w:r>
    </w:p>
  </w:footnote>
  <w:footnote w:id="1">
    <w:p w14:paraId="10CE7C4B" w14:textId="77777777" w:rsidR="000B114D" w:rsidRPr="006B0DB0" w:rsidRDefault="000B114D" w:rsidP="000B114D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highlight w:val="green"/>
          <w:rtl/>
        </w:rPr>
      </w:pPr>
      <w:r w:rsidRPr="006B0DB0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  <w:rtl/>
        </w:rPr>
        <w:t xml:space="preserve"> </w:t>
      </w:r>
      <w:r w:rsidRPr="006B0DB0">
        <w:rPr>
          <w:rFonts w:ascii="Naskh MT for Bosch School" w:hAnsi="Naskh MT for Bosch School" w:cs="Naskh MT for Bosch School"/>
          <w:sz w:val="20"/>
          <w:szCs w:val="20"/>
          <w:rtl/>
        </w:rPr>
        <w:t>در قانون فرانسه عدّه‌ای که باید زن بعد از طلاق برای ازدواج تازه نگهدارد</w:t>
      </w:r>
      <w:r w:rsidRPr="006B0DB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B0DB0">
        <w:rPr>
          <w:rFonts w:ascii="Naskh MT for Bosch School" w:hAnsi="Naskh MT for Bosch School" w:cs="Naskh MT for Bosch School"/>
          <w:sz w:val="20"/>
          <w:szCs w:val="20"/>
          <w:rtl/>
        </w:rPr>
        <w:t>نه ماه است و در قانون اسلامی سه ظهر</w:t>
      </w:r>
      <w:r w:rsidRPr="006B0DB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4994628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0B114D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  <w:p w14:paraId="3EE633EA" w14:textId="77777777" w:rsidR="000B114D" w:rsidRDefault="000B11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B114D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  <w:rsid w:val="00FC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0B11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2023-10-19T05:41:00Z</dcterms:modified>
  <dc:language>en-US</dc:language>
</cp:coreProperties>
</file>