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0000C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4"/>
          <w:sz w:val="44"/>
          <w:szCs w:val="44"/>
          <w:rtl w:val="true"/>
        </w:rPr>
        <w:t>هو اللّه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color w:val="0000C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color w:val="0000CC"/>
          <w:sz w:val="44"/>
          <w:szCs w:val="44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eastAsia="Traditional Arabic" w:cs="Traditional Arabic" w:ascii="Traditional Arabic" w:hAnsi="Traditional Arabic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بازآ و بده جامی این ساقی عطشانرا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زانساغر باقی ده این فانی دورانرا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Traditional Arabic" w:cs="Traditional Arabic" w:ascii="Traditional Arabic" w:hAnsi="Traditional Arabic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این هیکل فانی را بر سوز و برو خندان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تا از روزن جان بینم رخساره جانانرا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پاکم کن از آلایش دردم ده از آسایش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وانگاه بهم در پیچ ایندفتر هجران 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هم نفخه عیسائی هم سدره موسائی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نار اللّه حمرائی کاتش زدی امکانرا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Traditional Arabic" w:cs="Traditional Arabic" w:ascii="Traditional Arabic" w:hAnsi="Traditional Arabic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از ابدم برهان وز قدمم بجهان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  <w:tab/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در ظلّ فنا ده جا این بیسر و سامانرا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دنیا و عقبی را جمله برهت دادم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  <w:tab/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بازآ برهت ریزم هم جان و روانرا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گر پرده براندازی عالم همه بگدازی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کار همه بر سازی برهم زنی ایمان 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شمشیر بکف آمدی ای عشق اینک سر و اینک دل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 xml:space="preserve">   </w:t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زخمی زن و محکم زن اینعاشق بیجانرا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با ابروی خونریزت خون من بیدل ریز                     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  <w:tab/>
        <w:t xml:space="preserve">   </w:t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پس با لب جانبخشت روحی بدم ارکان 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افعی دو گیسویت خون دل و جان خورده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  <w:tab/>
        <w:tab/>
        <w:t xml:space="preserve">   </w:t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پس با کف بیضایت برگیر تو ثعبانرا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گر تیغ تو بر فرقم ور تیر تو بر صدرم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  <w:tab/>
        <w:tab/>
        <w:tab/>
        <w:t xml:space="preserve">   </w:t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ناید همی اندر پی حاصل چه بود مستانرا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درویش همی خواهد جان را برهت بازد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  <w:tab/>
        <w:tab/>
        <w:t xml:space="preserve">    </w:t>
      </w:r>
    </w:p>
    <w:p>
      <w:pPr>
        <w:pStyle w:val="PlainText"/>
        <w:bidi w:val="1"/>
        <w:ind w:left="3600" w:right="0" w:firstLine="720"/>
        <w:jc w:val="left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گر چه نبود لایق هدیه جان جانانرا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left"/>
      <w:rPr>
        <w:rFonts w:ascii="Traditional Arabic" w:hAnsi="Traditional Arabic" w:eastAsia="MS Mincho;ＭＳ 明朝" w:cs="Traditional Arabic"/>
        <w:b/>
        <w:b/>
        <w:bCs/>
        <w:color w:val="0000CC"/>
        <w:sz w:val="24"/>
        <w:szCs w:val="24"/>
      </w:rPr>
    </w:pP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>بازآ و بده جامی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ar-JO"/>
      </w:rPr>
      <w:t xml:space="preserve">– اثر حضرت بهاءالله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  <w:lang w:bidi="ar-JO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 xml:space="preserve">بر اساس نسخه در مائده آسمانی جلد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</w:rPr>
      <w:t>4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 xml:space="preserve">صفحه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</w:rPr>
      <w:t>186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–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</w:rPr>
      <w:t>187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</w:t>
    </w:r>
  </w:p>
  <w:p>
    <w:pPr>
      <w:pStyle w:val="Header"/>
      <w:bidi w:val="1"/>
      <w:ind w:left="0" w:right="0" w:hanging="0"/>
      <w:jc w:val="left"/>
      <w:rPr>
        <w:rFonts w:ascii="Arial" w:hAnsi="Arial" w:eastAsia="MS Mincho;ＭＳ 明朝" w:cs="Arial"/>
        <w:b/>
        <w:b/>
        <w:bCs/>
        <w:color w:val="000000"/>
        <w:sz w:val="24"/>
        <w:szCs w:val="24"/>
      </w:rPr>
    </w:pPr>
    <w:r>
      <w:rPr>
        <w:rFonts w:eastAsia="MS Mincho;ＭＳ 明朝" w:cs="Arial" w:ascii="Arial" w:hAnsi="Arial"/>
        <w:b/>
        <w:bCs/>
        <w:color w:val="000000"/>
        <w:sz w:val="24"/>
        <w:szCs w:val="24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