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t>CLII.  Thine eye is My trust, suffer not the dust of vain desires to becloud its luster.  Thine ear is a sign of My bounty, let not the tumult of unseemly motives turn it away from My Word that encompasseth all creation.  Thine heart is My treasury, allow not the treacherous hand of self to rob thee of the pearls which I have treasured therein.  Thine hand is a symbol of My loving-kindness, hinder it not from holding fast unto My guarded and hidden Tablets....  Unasked, I have showered upon thee My grace.  Unpetitioned, I have fulfilled thy wish.  In spite of thy undeserving, I have singled thee out for My richest, My incalculable favors ....  O My servants!  Be as resigned and submissive as the earth, that from the soil of your being there may blossom the fragrant, the holy and multicolored hyacinths of My knowledge.  Be ablaze as the fire, that ye may burn away the veils of heedlessness and set aglow, through the quickening energies of the love of God, the chilled and wayward heart.  Be light and untrammeled as the breeze, that ye may obtain admittance into the precincts of My court, My inviolable Sanctuary.</w:t>
      </w:r>
    </w:p>
    <w:p>
      <w:pPr>
        <w:pStyle w:val="Normal"/>
        <w:jc w:val="both"/>
        <w:rPr>
          <w:sz w:val="32"/>
          <w:szCs w:val="32"/>
        </w:rPr>
      </w:pPr>
      <w:r>
        <w:rPr>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Tablet to Ahmad (Farsi), Baha’u’llah, Gleanings from the Writings of Baha’u’llah, pp 322-3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