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r>
        <w:rPr>
          <w:sz w:val="32"/>
          <w:szCs w:val="32"/>
        </w:rPr>
        <w:t xml:space="preserve">He is the Almighty, the All-Knowing, the All-Wise! The winds of hatred have encompassed the Ark of Batha, by reason of that which the hands of the oppressors have wrought.  O Baqir! Thou hast pronounced sentence against them for whom the books of the world have wept, and in whose favour the scriptures of all religions have testified.  Thou, who art gone far astray, art indeed wrapt in a thick veil.  By God Himself! Thou hast pronounced judgement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learning beholdeth thee, and such as are like thee, engulfed in evident folly.  Hadst thou realized that which thou hast done, thou wouldst have cast thyself into the fire, or abandoned thine home and fled into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 melted, by reason of thy cruelty, and the inmates of Paradise wept sore in that blessed Spot.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Judge thou fairly, I adjure thee by God.  What proof did the Jewish doctors adduce wherewith to condemn Him Who was the Spirit of God, when He came unto them with truth?  What could have been the evidence produced by the Pharisees and the idolatrous priests to justify their denial of Muhammad,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judgement thou didst pronounce hath profited thee? Nay, by Him Who is the King of all Names!  Unto thy loss testifieth He with Whom is the knowledge of all things as recorded in the preserved Tablet.  When thou didst pen thy judgement, thou wast accused by thy very pen.  Unto this doth bear witness the Pen of God, the Most High, in His inaccessible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Qur'an: `Say not to every one who meeteth you with a greeting, "Thou art not a believer."'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foolish one!  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O Baqir!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foundered, and the She-Camel was hamstrung, and the Spirit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Sadratu'l-Muntaha and the Supreme Horizon.  Blessed is the soul that hath gazed on the Most Mighty Sign, and the ear that hath heard His most sweet Voice, and woe to whosoever hath turned aside and done wickedly.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Baha.  Unto their sincerity hath borne witness what the All-Merciful hath sent down in the Qur'an.  He saith:  `Wish ye, then, for death, if ye are sincere.'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Imran upon the Sinai of Wisdom.  Thus commandeth thee He Who is the Dawning-Place of the Revelation of thy Lord, the God of Mercy, from His great Prison.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Hath leadership made thee proud?  Peruse thou what God hath revealed to the Sovereign ruler, the Sultan of Turkey, who hath incarcerated Me in this fortified stronghold, so that thou mayest be informed of the condition of this Wronged One, as decreed by God, the One, the Single, the All-Informed.  Art thou happy to see the abject and worthless as thy followers?  They support thee as did a people before them, they that followed Annas, who, without clear proof and testimony, pronounced judgement against the Spirit.</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Peruse thou the Kitab-i-Iqan and that which the All-Merciful hath sent down unto the King of Paris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divines!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concourse of divines, the things ye have composed with the pens of your idle fancies and vain imaginings.  By God!  The Day-Star of Knowledge hath shone forth above the horizon of certitude.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O Baqir!  Read and call thou to mind that which was said of old by a believer of thy stock: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Hath the Shah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anyone concerning that which hath befallen the Cause of God.  It behoveth whosoever hath set his face towards the Most Sublime Horizon to cleave tenaciously unto the cord of patience, and to put his reliance in God, the Help in Peril, the Unconstrained.  O ye loved ones of God!  Drink your fill from the well-spring of wisdom, and walk ye in the garden of wisdom, and soar ye in the atmosphere of wisdom, and speak forth with wisdom and eloquence.  Thus biddeth you your Lord, the Almighty, the All-Knowing.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Baqir!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lamented, and the Chaste One cried out, and the countries were laid waste, and darkness fell upon all regions.  O concourse of divines!  Because of you the people were abased, and the banner of Islam was hauled down, and its mighty throne subverted.  Every time a man of discernment hath sought to hold fast unto that which would exalt Islam, ye raised a clamour, and thereby was he deterred from achieving his purpose, while the land remained fallen in clear ruin.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the Sultan of Turkey!  He did not want war, but those like you desired it.  When its fires were enkindled and its flames rose high, the government and the people were thereby weakened.  Unto this beareth witness every man of equity and perception.  Its calamities waxed so great that the smoke thereof surrounded the Land of Mystery and its environs, and what had been revealed in the Tablet of the Sultan was made manifest.  Thus hath it been decreed in the Book, at the behest of God, the Help in Peril, the Self-Subsisting.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O My Supreme Pen!  Leave Thou the mention of the Wolf, and call Thou to remembrance the She-Serpent whose cruelty hath caused all created things to groan, and the limbs of the holy ones to quake.  Thus biddeth Thee the Lord of all names, in this glorious station.  The Chaste One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of the Apostle of God, and pillage their possessions?  Hast thou denied Him Who created thee by His command `be, and it was'?  Thou hast dealt with the children of the Apostle of God as neither Ad hath dealt with Hud, nor Thamud with Salih, nor the Jews with the Spirit of God, the Lord of all being.  Gainsayest thou the signs of thy Lord which no sooner were sent down from the heaven of His Cause than all the books of the world bowed down before them? Meditate, that thou mayest be made aware of thine act, O heedless outcast!  Ere 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Qur'an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The children of the Apostle have been slain and their possessions pillaged.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 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color w:val="0000CC"/>
      </w:rPr>
      <w:t>Lawh-i-Burhan, Baha'u'llah, Tablets of Baha'u'llah, Pages: 203-16</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