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منادی بقا از عرش عما ندا فرمود که ای منتظران وادی صبر و وفا و ای عاشقان هوای قرب و بقا غلام روحانی که در کنائز عصمت ربّانی مستور بود بطراز يزدانی و جمال سبحانی از مشرق صمدانی چون شمس حقيقی و روح قدمی طالع شد و جميع من فی السّموات و الأرض را بقميص هستی و بقا از عوالم نيستی و فنا نجات بخشيد و حيات بخشود و آنکلمه مستوره که ارواح جميع انبيا و اولياء</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باو معلّق و مربوط بود از مکمن غيب و خفا بعرصه شهود و ظهور جلوه فرمود و چون آنکلمه غيبيّه از عالم هويّه صرفه و احديّه محضه بعوالم ملکيّه تجلّی فرمود نسيم رحمتی از آن تجلّی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برخاست که رائحه عصيان از کلّشیء برداشت و خلعت جديد غفران بر هياکل نامتناهی اشيا و انسان در پوشيد و چنان عنايت بديعه احاطه فرمود که جواهر مکنون که در خزائن امکان مخزون بود از نفحه کاف و نون در ظواهر اکوان بجلوه و شهود آمد بقسميکه غيب و شهود در قميصی مجتمع گشتند و سرّ و ظهور در پيراهنی بهم پيوستند نفس عدم بملکوت قدم بر‌آمد و جوهر فنا بر جبروت بقا وارد پس ايعاشقان جمال ذوالجمال و ای والهان هوای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قرب ذوالجلال هنگام قرب و وصال است نه موقع ذکر و جدال اگر صادقيد معشوق چون صبح صادق ظاهر و لائح و هويدا است از خود و غير خود بلکه از هستی و نيستی و نور و ظلمت و ذلّت و عزّت از همه بپردازيد و از نقوش و اوهام و خيال دل بر‌ داريد و پاک و مقدّس در اين فضای روحانی و ظلّ تجلّيات قدس صمدانی با قلب نورانی بخراميد ای دوستان خمر باقی جاری و ايمشتاقان جمال جانان بی‌نقاب و حجاب و ای ياران نار سينای عشق در جلوه و لمعان از ثقل حبّ دنيا و توجّه بآن خفيف شده چون طيور منير عرشی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در هوای رضوان الهی پرواز کنيد و آهنگ آشيان لايزالی نمائيد و البتّه جان را بی آن قدری نباشد و روانرا بی جانان مقداری نه باری پروانگان يمن سبحان در هر دمی حول سراج دوست جان بازند و از جانان نپردازند هر طيری را اينقدر مقدور نه وَ اللّهُ يَهْدِي مَنْ يَشَاءُ إِلَى صِرَاط عَلِيٍّ عَظِيم کَذَلِکَ نَرُشُّ حِيْنَئذٍ عَلَی أَهْلَ العَمَاءِ مَا يُقَلِّبُهُم إِلَى يَمِينِ البَقَاءِ وَ يُدْخِلُهُمْ إِلَى مَقَامِ الَّذِي کَانَ فِي سَمَاءِ القُدْسِ مَرْفُوعًا</w:t>
      </w:r>
      <w:r>
        <w:rPr>
          <w:rFonts w:eastAsia="MS Mincho;ＭＳ 明朝" w:cs="Simplified Arabic" w:ascii="Simplified Arabic" w:hAnsi="Simplified Arabic"/>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Simplified Arabic" w:hAnsi="Simplified Arabic" w:cs="Simplified Arabic"/>
        <w:color w:val="0000CC"/>
        <w:sz w:val="28"/>
        <w:sz w:val="28"/>
        <w:szCs w:val="28"/>
        <w:rtl w:val="true"/>
        <w:lang w:bidi="ar-JO"/>
      </w:rPr>
      <w:t xml:space="preserve">لوح غلام خلد – حضرت بهاءالله – ايام تسعه </w:t>
    </w:r>
    <w:r>
      <w:rPr>
        <w:rFonts w:cs="Simplified Arabic" w:ascii="Simplified Arabic" w:hAnsi="Simplified Arabic"/>
        <w:color w:val="0000CC"/>
        <w:sz w:val="28"/>
        <w:szCs w:val="28"/>
        <w:rtl w:val="true"/>
        <w:lang w:bidi="ar-JO"/>
      </w:rPr>
      <w:t>(</w:t>
    </w:r>
    <w:r>
      <w:rPr>
        <w:rFonts w:ascii="Simplified Arabic" w:hAnsi="Simplified Arabic" w:cs="Simplified Arabic"/>
        <w:color w:val="0000CC"/>
        <w:sz w:val="28"/>
        <w:sz w:val="28"/>
        <w:szCs w:val="28"/>
        <w:rtl w:val="true"/>
        <w:lang w:bidi="ar-JO"/>
      </w:rPr>
      <w:t>اشراق خاوری</w:t>
    </w:r>
    <w:r>
      <w:rPr>
        <w:rFonts w:cs="Simplified Arabic" w:ascii="Simplified Arabic" w:hAnsi="Simplified Arabic"/>
        <w:color w:val="0000CC"/>
        <w:sz w:val="28"/>
        <w:szCs w:val="28"/>
        <w:rtl w:val="true"/>
        <w:lang w:bidi="ar-JO"/>
      </w:rPr>
      <w:t>)</w:t>
    </w:r>
    <w:r>
      <w:rPr>
        <w:rFonts w:ascii="Simplified Arabic" w:hAnsi="Simplified Arabic" w:cs="Simplified Arabic"/>
        <w:color w:val="0000CC"/>
        <w:sz w:val="28"/>
        <w:sz w:val="28"/>
        <w:szCs w:val="28"/>
        <w:rtl w:val="true"/>
        <w:lang w:bidi="ar-JO"/>
      </w:rPr>
      <w:t xml:space="preserve">، صفحه </w:t>
    </w:r>
    <w:r>
      <w:rPr>
        <w:rFonts w:cs="Simplified Arabic" w:ascii="Simplified Arabic" w:hAnsi="Simplified Arabic"/>
        <w:color w:val="0000CC"/>
        <w:sz w:val="28"/>
        <w:szCs w:val="28"/>
        <w:lang w:bidi="ar-JO"/>
      </w:rPr>
      <w:t>92</w:t>
    </w:r>
    <w:r>
      <w:rPr>
        <w:rFonts w:cs="Simplified Arabic" w:ascii="Simplified Arabic" w:hAnsi="Simplified Arabic"/>
        <w:color w:val="0000CC"/>
        <w:sz w:val="28"/>
        <w:szCs w:val="28"/>
        <w:rtl w:val="true"/>
        <w:lang w:bidi="ar-JO"/>
      </w:rPr>
      <w:t xml:space="preserve"> – </w:t>
    </w:r>
    <w:r>
      <w:rPr>
        <w:rFonts w:cs="Simplified Arabic" w:ascii="Simplified Arabic" w:hAnsi="Simplified Arabic"/>
        <w:color w:val="0000CC"/>
        <w:sz w:val="28"/>
        <w:szCs w:val="28"/>
        <w:lang w:bidi="ar-JO"/>
      </w:rPr>
      <w:t>99</w:t>
    </w:r>
    <w:r>
      <w:rPr>
        <w:rFonts w:cs="Simplified Arabic" w:ascii="Simplified Arabic" w:hAnsi="Simplified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HeaderChar">
    <w:name w:val="Header Char"/>
    <w:qFormat/>
    <w:rPr>
      <w:rFonts w:ascii="Naskh MT for Bosch School" w:hAnsi="Naskh MT for Bosch School" w:cs="Naskh MT for Bosch School"/>
      <w:sz w:val="24"/>
      <w:szCs w:val="24"/>
    </w:rPr>
  </w:style>
  <w:style w:type="character" w:styleId="FooterChar">
    <w:name w:val="Foot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