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center"/>
        <w:rPr/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 تعالی شأنهُ الحكمة و البيان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قد حضر لدی المظلوم كتاب أحد من السّادات الّذين أقبلوا إلی اللّه و سمعوا و أجابوا ربّهم المشفق الكريم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كلّ در منظر اكبر مذكورند و از حقّ ميطلبيم جميع را مؤيّد فرمايد بر آنچه سبب ذكر دائمی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)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 اينكه در باره اتّحاد سؤال نموديد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اتّحاد در رتبهء اوّليّه اتّحاد در دين است و اين اتّحاد لا زال سبب نصرت امراللّه در قرون و اعصار بوده و اجتماع سيف معنوی إلهی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مثلاً حال اگر دولتی ملاحظه نمايد اكثری از اهل مملكتش خرق حجاب نموده‌اند و بافق ظهور إلهی إقبال كرده‌اند ساكت شود و آنچه گفته شود بشنود و هر نفسی باصغا فائز شد بعرفان حقّ جلّ جلاله فائز است مگر نفوسی كه بالمرّه از رحمت إلهی دورند و باستحقاق كامل سزاوار بطش و غضب آن نفوس در هر حال محروم و ممنوعند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اتّحاد در مقامی اتّحاد در قول است و اين بسيار لازم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مثلاً ملاحظه نما اگر دو نفس از اوليای حقّ در ارضی وارد شوند و در امری باختلاف سخن گويند سبب اختلاف شود و خود و سائرين از نعمت اتّحاد كه از قلم مولی‌الايجاد نازل شده محروم و ممنوع گردند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جمله ناصر حقّ بيان بوده و هست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اين ظهور أعظم أعمال و أخلاق جنود حقّند و بنصرت مشغول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بيان اگر باندازه گفته شود رحمت الهی است و اگر تجاوز نمايد سبب و علّت هلاك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الواح كلّ را وصيّت فرموديم به بياناتی كه طبيعت و اثر شير در او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مستور باشد تا اطفال عالم را تربيت نمايد و بحدّ بلوغ رساند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بيان در هر مقامی بشأنی ظاهر و بأثری باهر و از او عرف خير و شرّ متضوّع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در مقامی اتّحاد اعمال مقصود است چه كه اختلاف آن سبب اختلاف گردد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اين مظلوم ايّاميكه از زوراء به ادرنه نفی ميشد در بين راه در مسجدی وارد صلاة مختلفه در آن محلّ مشاهده نمود اگر چه كلّ لفظ صلوة بر او صادق و لكن هر يك باسبابی از هم ممتاز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اگر حزب فرقان فی الحقيقه بآنچه از قلم رحمن نازل شد عمل مينمودند جميع من علی الارض بشرف ايمان فائز ميگشتند اختلاف اعمال سبب اختلاف امر گشت و امر ضعيف شد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يكی دست بسته بصلوة قائم و حزبی گشوده يكی در تشهد التّحيّات ميگويد و ديگری السّلام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اينها گذشته حزبی ميرقصند و ميگويند اين ذكر حقّ است نعوذ باللّه حقّ از اين اذكار مقدّس و منزّه و مبرّاست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شريعت رسول اللّه روح ما سواه فداه را بمثابه بحری ملاحظه نما كه از اين بحر خليجهای لا يتناهی برده‌اند و اين سبب ضعف شريعت اللّه شده ما بين عباد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تا حين نه ملوك و نه مملوك و نه صعلوك هيچيك سبب و علّت را ندانستند و بآنچه عزّت رفته راجع شود و علم افتاده نصب گردد آگاه نبوده و نيستند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باری يك خليج شيعه يك خليج سنّی يك خليج شيخی يك خليج شاه نعمت اللّهی يك خليج نقشبندی يك خليج ملامتی يك خليج جلالی يك خليج رفاعی يك خليج خراباتی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إن تَعدّوا سبل الجحيم لا تُحصوها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حال سنگ ناله ميكند و قلم اعلی نوحه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ملاحظه نما كه چه وارد شد بر شريعتی كه نورش ضياء عالم و نارش هادی امم يعنی نار محبّتش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طُوْبَی لِلْمُتَفَكِّرِينَ وَ طُوْبَی لِلْمُتَفَرِّسِينَ وَ طُوْبِی لِلْمُنْصِفِينَ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باری اين اختلاف اعمال سبب تزعزع بنيان امر اللّه شد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ای اهل بيان بشنويد ندای مظلوم را مثل احزاب قبل خود را مبتلا نكنيد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إنّه أنزل الدّليل و أظهر السّبيل إيّاكم أن تختلفوا فيما نزّل من سماء مشيئة ربّكم المقتدر القدير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لعمر اللّه اگر ناطقی مشاهده ميشد و يا قائمی ديده ميگشت اين عبد بكلمه ئی تكلّم نمينمود مقصود آنكه حقّ جلّ جلاله او را بدست اين قوم نميداد يعنی اهل بيان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فاعتبروا يا اولی الابصار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قلب و صدر را از ماء حيوان كه از قلم رحمن جاريست طاهر و مقدّس نمائيد و بجنود اعمال طيّبه و اخلاق مرضيّه و كلمات الهيّه بنصرت مشغول شويد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اينست وصيّت حقّ جل جلاله كه در الواح از قلم اعلی جاری و نازل گشت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جمله اتّحاد مقام است و اوست سبب قيام امر و ارتفاع آن ما بين عباد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برتری و بهتری كه بميان آمد عالم خراب شد و ويران مشاهده گشت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نفوسيكه از بحر بيان رحمن آشاميده‌اند و بافق اعلی ناظرند بايد خود را در يك صقع و يك مقام مشاهده كنند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اگر اين فقره ثابت شود و بحول و قوّة الهی محقّق گردد عالم جنّت ابهی ديده شود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بلی انسان عزيز است چه كه در كلّ آيه حقّ موجود و لكن خود را اعلم و ارجح و افضل و اتقی و ارفع ديدن خطائيست كبير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طوبی از برای نفوسی كه بطراز اين اتّحاد مزيّنند و من عند اللّه موفّق گشته‌اند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علمای ايران مشاهده نما اگر خود را أعلی الخلق و أفضلهم نميدانستند تابعين بيچاره بسبّ و لعن مقصود عالميان مشغول نميشدند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انسان متحيّر بل عالم متحيّر از آن نفوس مجعوله غافله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نار افتخار و كبر كلّ را سوخته و لكن شاعر نيستند و بشعور نيامده‌اند به قطره ئی از بحر علم و دانش فائز نگشته‌اند افّ لهم و بما نطقت به ألسنتهم و اكتسبت أياديهم فی يوم الجزاء و فی هذا اليوم الّذی قام النّاس لربّ العالمين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اگر قلم اعلی اراده نمايد مراتب اتّحاد را در هر شیء و در هر امر بتمامه ذكر فرمايد سالها بايد مشغول گردد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جمله اتّحاد نفوس و اموال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باين مقام ختم مينمائيم ذكر اتّحاد را أمرًا من عندنا و أنا المقتدر المختار و اين اتّحاد اتّحاديست كه منبع فرح و سرور و بهجت است لَوْ هُم يَفْقَهُونَ وَ يَعْلَمُونَ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ديگر آخوندهای غافل نگويند اين هم بكجا راجعست اين هم بكلّ نفوس راجع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 از اين اتّحاد مواسات ظاهر و اين مواسات در كتب إلهی از قبل و بعد محبوب بوده و هست و اين مواسات در مال است نه در دونش نه در فوقش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Arial Unicode MS" w:cs="Traditional Arabic"/>
          <w:color w:val="006600"/>
          <w:sz w:val="48"/>
          <w:sz w:val="48"/>
          <w:szCs w:val="48"/>
          <w:rtl w:val="true"/>
        </w:rPr>
        <w:t xml:space="preserve"> وَ يُؤَثِرُونَ عَلَی أَنْفُسِهِم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Arial Unicode MS" w:cs="Traditional Arabic"/>
          <w:color w:val="006600"/>
          <w:sz w:val="48"/>
          <w:sz w:val="48"/>
          <w:szCs w:val="48"/>
          <w:rtl w:val="true"/>
        </w:rPr>
        <w:t xml:space="preserve"> وَ لَو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Arial Unicode MS" w:cs="Traditional Arabic"/>
          <w:color w:val="006600"/>
          <w:sz w:val="48"/>
          <w:sz w:val="48"/>
          <w:szCs w:val="48"/>
          <w:rtl w:val="true"/>
        </w:rPr>
        <w:t xml:space="preserve"> كَانَ بِهِم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Arial Unicode MS" w:cs="Traditional Arabic"/>
          <w:color w:val="006600"/>
          <w:sz w:val="48"/>
          <w:sz w:val="48"/>
          <w:szCs w:val="48"/>
          <w:rtl w:val="true"/>
        </w:rPr>
        <w:t xml:space="preserve"> خَصَاصَةٌ وَ مَن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Arial Unicode MS" w:cs="Traditional Arabic"/>
          <w:color w:val="006600"/>
          <w:sz w:val="48"/>
          <w:sz w:val="48"/>
          <w:szCs w:val="48"/>
          <w:rtl w:val="true"/>
        </w:rPr>
        <w:t xml:space="preserve"> يُوْقَ شُحَّ نَفْسِهِ فَأُوْلَئِكَ هُمُ الفَائِزُونَ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eastAsia="Arial Unicode MS" w:cs="Traditional Arabic" w:ascii="Traditional Arabic" w:hAnsi="Traditional Arabic"/>
          <w:color w:val="006600"/>
          <w:sz w:val="48"/>
          <w:szCs w:val="48"/>
          <w:rtl w:val="true"/>
        </w:rPr>
        <w:t>.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اين مقام فوق مساوات است مساوات آنكه انسان عباد اللّه را از آنچه حقّ جلّ جلاله باو عنايت فرموده محروم ننمايد خود متنعّم و مثل خود را هم متنعّم نمايد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اين مقام بسيار محبوبست چه كه كلّ از نعمت قسمت ميبرند و از بحر فضل نصيب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آنان كه سايرين را بر خود ترجيح ميدهند فی الحقيقه اين مقام فوق مقام است چنانكه ذكر شد و ما أنزله الرّحمن فی الفرقان شاهد و گواه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)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 حزب اللّه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قلم اعلی بر نفسش نوحه نمايد يا بر آنچه در عالم احداث شده؟ كار بمقامی رسيده كه غدير دعوی بحری نمايد و ضبّ مقام نسری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آيا چه شده و چه دخانی عالم را احاطه كرده؟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آيا عرف ظهور متضوّع نيست و از دونش ممتاز نه؟ آيا صراط مستقيم از سبل شياطين معلوم نه؟ لا و نفسی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حقّ بجميع صفات و اعمالش از دونش ممتاز بوده و هست و بر صاحبان بصر مشتبه نشده و نميشود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مقصود از اتّحاد نفوس محبّت اللّه و كلمة اللّه است كه كلّ بر او جمع شوند و باو تمسّك نمايند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هر صاحب بصر و عقلی بر آنچه از قلم اعلی جاری شده تصديق مينمايد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اتّحادهای مذكوره هر يك جندی هستند از جند اللّه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حزبی هستند از حزب اللّه و امری هستند از امر اللّه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اتّحاد نفوس از اوّل ابداع تا حين ناصر و معين حقّ بوده و خواهد بود يعنی اتّحادی كه بامر اللّه و شرعه واقع شود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اين مقام اتّحاد از اين رتبه تجاوز نمينمايد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فاعتبروا يا اولی الانظار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قلم اعلی در اين حين اوليای خود را طرّاً باتّحاد و اتّفاق وصيّت ميفرمايد ليظهر به امر اللّه المهيمن القيّوم و همچنين بحكمت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بعضی از دوستان الهی حكمت را ملاحظه ننموده‌اند و از مقامش غافل شده و سبب گشتند در بعضی از بلاد ضوضاء مرتفع شد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بشنويد ندای مظلوم را و بآنچه در الواح نازل شده عامل شويد تا سمع نيابيد لب نگشائيد و تا ارض طيّبه مباركه مشاهده نكنيد بذر حكمت را وديعه نگذاريد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القاء كلمه الهی وقتی است كه سمع و بصر مستعدّ باشند و همچنين ارض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بعضی در بعضی از احيان تكلّم نمودند بآنچه كه ضرّش باصل سدره راجع است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 يا قوم خافوا اللّه و لا تكونوا من الظّالمين اتّقوا اللّه و لا تكونوا من الجاهلين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ارض جرز لايق انبات نه و سمع شرك لايق اصغاء كلمه توحيد نه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)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 حزب اللّه 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قلم اعلی جاری شد آنچه كه سبب و علّت حيات عالم است بايد هر يك للّه تفكر نمائيد مخصوص در توحيد إلهی كه مباد مثل حزب قبل بلفظ ناطق و از معنی محروم بودند عبده اسماء بودند و همچنين عاكفين اصنام معذلك خود را از اهل توحيد و يقين ميشمردند و لكن حقّ ظاهر فرمود آنچه مستور بود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عمل و جزاء آن قوم در يوم معاد علوّ و سموّ و مقام و شأن و توحيدشان بر عالميان واضح و هويدا گشت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*(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 اسمی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)*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دوستان الهی را از قبل مظلوم تكبير برسان و وصيّت نما بما وصّاهم اللّه فی الزّبر و الألواح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طوبی للمهاجرين الّذين هاجروا فی سبيل اللّه الی أن وردوا فی هذا السّجن العظيم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لوجه اللّه إقبال نمودند و إلی اللّه توجّه كردند إنّما أجرهم علی الّذی فطرهم و خلقهم و رزقهم و نصرهم و عرّفهم و أنطقهم بذكره و ثنائه انّه علی كلّ شیء قدير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البهاء المشرق من أفق سماء رحمتی علی الّذين وفّقهم اللّه علی العمل بما نزل فی كتابه المحكم المتين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الحمد للّه ربّ العالمين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نسأله تعالی فی آخر اللّوح بأن يؤيّدهم و يوفّقهم و يمدّهم بجنود الغيب و الشّهادة و ينصرهم فی أمره إنّه هو المقتدر علی ما يشاء و فی قبضته زمام الأشياء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لَا إِلَه إِلَّا هُوَ الوَاحِدُ العَزِيزُ العَلَّامُ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48"/>
          <w:szCs w:val="48"/>
        </w:rPr>
      </w:pP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1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اتحاد – اثر حضرت بهاءالله – بر اساس نسخه در ادعيه حضرت محبوب 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388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406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