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4"/>
          <w:szCs w:val="44"/>
          <w:lang w:bidi="ar-JO"/>
        </w:rPr>
      </w:pPr>
      <w:r>
        <w:rPr>
          <w:rFonts w:ascii="Traditional Arabic" w:hAnsi="Traditional Arabic" w:cs="Traditional Arabic"/>
          <w:color w:val="0000CC"/>
          <w:sz w:val="44"/>
          <w:sz w:val="44"/>
          <w:szCs w:val="44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4"/>
          <w:sz w:val="44"/>
          <w:szCs w:val="44"/>
          <w:rtl w:val="true"/>
        </w:rPr>
        <w:t xml:space="preserve">هو المقتدر على ما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4"/>
          <w:sz w:val="44"/>
          <w:szCs w:val="44"/>
          <w:rtl w:val="true"/>
        </w:rPr>
        <w:t>شاء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0000CC"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 من لدنه وهو اللّه كان على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قديرًا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الحمد 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ممو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ج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بحر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بالماء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اري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لهي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ومهي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ج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حرف 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قطة العمائي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الفرداني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ومطو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طور الغيبي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من فلك 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نفس البطون وجهة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زلاني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ومكو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نقطة الر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بوبي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من طرز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بهي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مداني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ليشهدن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 هو الحق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لا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له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هو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 لهو الفرد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 الص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مد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لم يلد ولم يولد وليس كمثله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وهو اللّه المتكب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الجب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ار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الحمد لله مطفّح طماطم النّاري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هيكل القد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وسي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اذجي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ومرشّح القماقم الجمالي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ّة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رشحات 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وحي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المجر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ومجذب طلعات الهائي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تغن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يات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زلي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الوحداني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ومغر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 حمامة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بالت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غردات السّرمدي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بداني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ليعرفن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أنّ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 لهو الحق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له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هو الجو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اد القدير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ليس له وصف دون ذاته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نعت دون جنابه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نّه لهو المقتدر القه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ار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والحمد 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مطو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في طوران نوره ومكو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في كوران نوره ومشعشع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في وجهات نوره ومقم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في قمعات نوره وملجلج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في حركات نوره ومبل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في طلعات نوره حمدًا 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ثم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حمدًا للّه حمدًا هو يستحق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ه لا غيره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فسبحانك اللّهم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لهي لم يكن لي من ضياء حت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ناديك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يات قدسك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لي من بهاء حت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ناجيك بحروفات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نسك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لي من سناء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لاقيك في سرائر عز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لي من شعاع حت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شاهدك في مكامن نورك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فسبحانك اللّهم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لهي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نادين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حين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جعلتني محزونًا تلقاء تمو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 طماطم بشاشي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جعلتني في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مهموما عند تهي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 قماقم سر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اري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 وحين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في البيت جعلتني مغمومًا تلقاء تبذ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ج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بحر نو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اري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فسبحانك اللّهم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لهي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شهدن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 بما تشهد لنفسك بنفسك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قبل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نّك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نت اللّه لا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له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لّا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 لم تزل كنت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مستريحًا في عرش الجلال ولا تزال تكونن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في هوي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الفضل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العدال لم تزل ولا تزال لتكونن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بمثل ما قد كنت من قبل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عز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المجد والجمال لن يعرفك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 على حق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عرفاني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لن يصفك نفس على حق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افي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ما يعرفوك المقد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سون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ك في ساحة قدس مليك 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>[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وهّابيّتك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]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ما ينعتوك الموح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شرك في فِناء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نس سلطان 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اري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تك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فسبحانك اللّهم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لهي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ذي خلقتني ولم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كُ شيئًا في ملكك ورزقتني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كُ ذر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في بلادك حت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عر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فتني ذكرك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لهمتني تصديق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ه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لوجهك والاذعان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مره في حق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ودعت في ذاتي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تي نورًا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كينوني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تك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لأ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عرف بذلك نفسك واشعشع في مملكتك واستريح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ساحة عز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 حت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تمو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جت على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بحر الحزن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تي لن يقدر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حد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يشرب قطرة منها وحزنت بشأن تكاد الر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وح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يفارق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جسمي بحيث هممت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هممت الر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وحاني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ون وغممت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غممت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ون ولك الحمد يا محبوبي على جميع ما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ظهرت بقدرتك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رت بمشي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حكمت بقضائك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حصيت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مضائك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ذلك دليل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مرك وسبيل لسلطان من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ك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فسبحانك اللّهم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لهي كيف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دعوك ببدايع ذكرك بعد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قطعت 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بيل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عن معرفة كنه ذاتك وكيف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دعوك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نت ما خلقتني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لذكر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آلائك وتحميد نعماتك فسبحانك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نّي كنت لديك لمن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اجدين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فسبحانك اللّهم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لهي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قسمن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 في ذلك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يل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ليل عند تغن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حمامة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 في جبل 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يناء عن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يمين شجرة الحمراء بتغن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يات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زلي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 وفي تلك 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لمات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طول تلقاء تغر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 ورقاء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وراء خلف حجبات العماء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بتغر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دات سرمدي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ترفعني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سماء الغيب بهيمنة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سلطان قي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ومي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تك وتصعدني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فق المشهود بقو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مليك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لوهي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تك وتعرجني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مكامن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تك وتشر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فني بزيارت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طلعتك حت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سكن في جوارك واستريح في بساطك وات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وسايد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بعنايتك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سترقي على سماء 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 بكرامتك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يسكن قلبي ويستريح فؤادي ويلذ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كينونتي ويطمئن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ذاتي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تي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كون بذلك من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ذينهم بلقاء ربّهم يوقنون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ها السّائل الجليل والمتوق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د بنار الخليل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يقن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نّي من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 يوم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ذي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دني اللّه بالت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صديق عليه وال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قرار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حينئذ ما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ريد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جيب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حدًا من العباد ولكن لم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وجدت في قلبك نارًا من حج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اللّه وقبسًا من نور مظهر نفسه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لذا قد تمو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جت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بحر مود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تي لحب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 لك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ريد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جيبك بحول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اللّه وقوّته بما يطفح منّي من رشحات العبودي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ة في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ليجذبك نفحات النّور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ذروة السّرور ويصلك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مقام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اللّه لك في 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رياح الحزن 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حاطتني من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شطر عم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 اكتسبت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يدي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اس بما افتروا علي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دون بي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نة ولا كتاب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 ربّ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فرغ عَلَ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صبرًا وانصرني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القوم المفسدين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فاعلم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لتلك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ية الجنية والث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طيفة والرّن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لهي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والسّدرة الل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اهوتي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معانيًا لطيفة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ما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نهاية بما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نهاية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نّي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فضل اللّه وجوده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رشح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عليك طفحًا منها ليكون ذكرًا للمؤمنين ونورًا للمستوحشين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حصنًا للمتزلزلين فاشهد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لل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طعام مراتب شت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ولكن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لنكفيك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ربعة منها مقام عرش الهاهوت، جن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ة لن يقدر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حد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يفس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حرفًا من تلك الآية في تلك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الجن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ذلك مقام سرّ الصّمداني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سرائيلي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الفرداني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ونفساني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معاني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ظاهرها عين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باطنها وباطنها عين ظاهرها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ينبغي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حد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لع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بحرف منها ولكن اللّه سيظهر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ذا يشاء لمن يشاء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قدر ضر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ومسكنتي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علم حرفًا منها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ها لن تحكي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عن اللّه بارئها وموجدها فسبحان اللّه خالقها ومحييها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يقولون الموح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دون فوال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نفسي بيده لو تمو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جت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بحر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تلك المقام ليغرق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من في 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رض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حرف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 وكف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باللّه عَلَ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وعليك شهيدًا ومنها مقام جن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عرش اللّاهوت، نور البيضاء وهو مقام هو هو وليس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حد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هو وهذه الجن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مختص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للعباد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ذين يستقر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ون 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كرسي الجلال ويشربون 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اء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الكافور تلقاء الجمال ويقرؤن آيات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في سماء العدال وهم بها يتلذ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ذون ومن ذلك الط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عام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يتنع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مون وسبحان اللّه موجدها عمّا يصفون ومنها مقام جن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الواحدي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الص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فراء طمطام الجبروت، وهو مقام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 هو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هو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 عباد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ذين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ينطقون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ذن اللّه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يعملون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مره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ينهون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بحكمه كما وصفهم اللّه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نّهم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: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عِبَادٌ مُكْرَمُونَ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لَا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يَسْبِقُونَهُ بِالقَولِ وَهُم بِ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مْرِهِ يَعْمَلُونَ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ومنها مقام جن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العدل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الخضراء قمقام الملكوت، ذلك للعباد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ذين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لَا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تَلْهِيهِمْ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تِجَارَةٌ وَلَا بَيعٌ عَنْ ذِكْرِ اللّهِ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ولئك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صحاب النّور وهم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ذن اللّه يدخلون وعلى بساط العز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يسترقدون ومنها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ة الفضل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الحمراء سر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فراء مستنسر البيضاء نقطة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اسوت،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اء الذ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كر فيها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كبر لو كنتم تعلمون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فآهٍ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آهٍ ثُمَّ آهٍ آهٍ لو كان نقطة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في 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 ويشهد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حزني ليترح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 بي ويتلط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 عَلَ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ويشو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قني في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حين ويؤي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دني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آن فآه آه ليتني مِت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بعده قبل 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 كنت نَسْيًا مَنْسِي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 قل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ها الملأ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ارحموني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تفتروا عَلَ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تعجلوا في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مري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نّي عبد آمنت باللّه وآياته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يبق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امي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قليلاً وكف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باللّه رب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عليكم وكيلاً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ذ هو حسبي وحسب من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راد من قبل وكف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بنفسه حسيبًا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افرغ 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صبرًا وانصرني على القوم المشركين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ينطقون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لّا عن ظنون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نفسهم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يتحر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كون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بما يؤي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هم قل ما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لكم كيف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نتم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تتفك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رون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تشعرون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ها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مين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ذا تطف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حت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رياح المحب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عن يمين شجرة الط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يقلبك ذات اليمين وذات الشّمال هنالك تحص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في كهف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ذن اللّه العلي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وهو اللّه كان بكلّ ش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قديرًا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شهدت وعلمت كلّما فس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رنًا لك فاشهد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نّا نريد بتفسير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خر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فاعلم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المراد في </w:t>
      </w:r>
    </w:p>
    <w:p>
      <w:pPr>
        <w:pStyle w:val="PlainText"/>
        <w:numPr>
          <w:ilvl w:val="0"/>
          <w:numId w:val="4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الط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عَام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نفس العلم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العلوم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من </w:t>
      </w:r>
    </w:p>
    <w:p>
      <w:pPr>
        <w:pStyle w:val="PlainText"/>
        <w:numPr>
          <w:ilvl w:val="0"/>
          <w:numId w:val="4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نقطة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ومن </w:t>
      </w:r>
    </w:p>
    <w:p>
      <w:pPr>
        <w:pStyle w:val="PlainText"/>
        <w:numPr>
          <w:ilvl w:val="0"/>
          <w:numId w:val="4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 xml:space="preserve">بَنِي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الّذي جعله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اللّه من عنده حج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على النّاس في 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ام </w:t>
      </w:r>
    </w:p>
    <w:p>
      <w:pPr>
        <w:pStyle w:val="PlainText"/>
        <w:numPr>
          <w:ilvl w:val="0"/>
          <w:numId w:val="4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لَّا مَا حَر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 xml:space="preserve">مَ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سْرَائِيْلُ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عَلَ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 xml:space="preserve"> نَفْسِهِ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ما حر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 نقطة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على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ائه وعباده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44"/>
          <w:szCs w:val="44"/>
          <w:lang w:bidi="ar-JO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ثمّ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شهد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كلّما حد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د اللّه في الكتاب من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مره ونهيه حق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لا ريب فيه وعلى الكل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فرض العمل به والت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صديق عليه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يحجبك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عمل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ذين كانوا يفسدون في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رض ويحسبون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نّهم مهتدون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لا فوربّ العماء هم كاذبون ومفترون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على مثل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ئة لن يحل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عليهم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يأكلو الش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عير في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ام فكيف يجوز عليهم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يأكلوا ما حر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 اللّه في الكتاب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فسبحانه سبحانه عمّا يقولون المشركون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ها الخليل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ذا استشرقت بتشر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 شرق شوارق صبح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زل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تي ملئت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الآفاق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نواره واستجذبت بتجذ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 جذب جواذب نور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الص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الّذي ظهر على هياكل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شراق آثاره فاعرف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نّ المقصود من </w:t>
      </w:r>
    </w:p>
    <w:p>
      <w:pPr>
        <w:pStyle w:val="PlainText"/>
        <w:numPr>
          <w:ilvl w:val="0"/>
          <w:numId w:val="5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الط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عَام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في 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تي كانت الشّمس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طالعة في وسط السّماء ويستض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سراج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زلي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في مصباح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العماء ما يكون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معرفة صاحب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مر </w:t>
      </w:r>
    </w:p>
    <w:p>
      <w:pPr>
        <w:pStyle w:val="PlainText"/>
        <w:numPr>
          <w:ilvl w:val="0"/>
          <w:numId w:val="5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و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المشي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وّل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تي خلق اللّه بها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من في 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وما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بينهما </w:t>
      </w:r>
    </w:p>
    <w:p>
      <w:pPr>
        <w:pStyle w:val="PlainText"/>
        <w:numPr>
          <w:ilvl w:val="0"/>
          <w:numId w:val="5"/>
        </w:numPr>
        <w:bidi w:val="1"/>
        <w:ind w:left="360" w:right="0" w:hanging="36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fa-IR"/>
        </w:rPr>
        <w:t xml:space="preserve">و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 xml:space="preserve">بَنِي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عباد الّذين يستجذبون بنار تلك المشي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سنة ست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يوم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يحشر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اس لرب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العالمين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ما كان اللّه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يظلم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حدًا ولكن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اس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نفسهم يظلمون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فاعلم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نور اللّه لم يزل كان مستويًا على عرش العطاء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يزال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يكون بمثل ما قد كان ولكن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النّاس هم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يشعرون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يشهدون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فلم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استبذخناك بتبذ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خ طور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واستشمخناك بتشمّخ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طور العبودي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ة في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رور واستشربناك من يد يوسف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الجمال ماء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من عين الكافور واسترقدناك في مهاد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عند تغن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نملة المحبور هنالك يروح روحك وتلذ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نفسك ويسر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ذاتك 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ذًا فاشكر اللّه الّذي خلقك من قبل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عنده وجعلك من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ذينهم بآيات اللّه لمتهدون ولكنّ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اشكو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بث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 وحزني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اللّه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نّه يشهد همّي وينظر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حالي ويسمع ضجيجي فو الّذي طي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 طير النّور في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الط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ما وجدت بمثلي مطروحًا كما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قد جلست في نقطة الت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راب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بالذ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ة العماء ولم يكن في الملك ذي روح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ويحزنني بشأن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تكاد السّموات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يتفط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رن وتنشق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وتخر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الجبال هد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بحيث لم تر عين الد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هر بمثلي مظلومًا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نّي صبرت وحلمت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جلست بين يدي اللّه وات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كلت عليه وفو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ضت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مر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ليه لعل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يرحم 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ويعفو عنّي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ما كان النّاس هم يفترون ثمّ اعلم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يا كمال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نّي لو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 تلك الآية من يومئذ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ات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صل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المستغاث 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يوم الّذي يقوم النّاس لطلعة حي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بديع 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>-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قدر بما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عطاني اللّه بفضله وجوده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سرّ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تحر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كت وبحر الصّمدي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قد تمو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جت وطلعة النّور في سموات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العماء عن يمين شجرة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 قد تلئلئت في 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 الّتي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ما طلعت شمس 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 بمثلها ولكن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النّاس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يعرفون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قدرها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يشهدون لطفها فآه آه لو عرفوا لن يغيب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الحج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منهم ولن يرفع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عمة عنهم قل ما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لكم كيف تشركون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باللّه الّذي خلقكم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دكم بنور من عنده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نتم مؤمنون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يا كمال اسمع نداء تلك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ملة الذ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ليلة المطرودة الّتي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خفي في وكره ويريد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يخرج من بينكم ويغيب عنكم بما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اكتسبت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يدي النّاس وكان اللّه شهيد بيني وبين عباده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هو اللّه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كان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على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كلّ ش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شهيدًا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فآه آه لو تكون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نقطة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خر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ى،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طلعة حب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ي، 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وس، ليحزن على حالي ويبكي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ما نزلت بي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نّي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سئل من جنابه في ذلك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وادعو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حضرته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يصعدني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ساحة عزّه ويجلسني في بساط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قدسه 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في 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ام كنت ولم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كُ شيئًا مذكورًا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 ربّ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فافرغ 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صبرًا فانصرني على القوم الفاسقين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ها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مين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كنت سكنت في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جمة البيضاء جزيرة الفرقان فاعلم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</w:p>
    <w:p>
      <w:pPr>
        <w:pStyle w:val="PlainText"/>
        <w:numPr>
          <w:ilvl w:val="0"/>
          <w:numId w:val="1"/>
        </w:numPr>
        <w:bidi w:val="1"/>
        <w:ind w:left="360" w:right="0" w:hanging="360"/>
        <w:jc w:val="both"/>
        <w:rPr/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الط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عَام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ولاية الّتي 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اللّه فيها 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هلها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المراد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بالـ </w:t>
      </w:r>
    </w:p>
    <w:p>
      <w:pPr>
        <w:pStyle w:val="PlainText"/>
        <w:numPr>
          <w:ilvl w:val="0"/>
          <w:numId w:val="1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نقطة الفرقان ومن </w:t>
      </w:r>
    </w:p>
    <w:p>
      <w:pPr>
        <w:pStyle w:val="PlainText"/>
        <w:numPr>
          <w:ilvl w:val="0"/>
          <w:numId w:val="1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 xml:space="preserve">بَنِي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وصيائه من بعده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إنّ بمثل ذلك يجزي اللّه عباده المت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قون </w:t>
      </w:r>
    </w:p>
    <w:p>
      <w:pPr>
        <w:pStyle w:val="PlainText"/>
        <w:bidi w:val="1"/>
        <w:ind w:left="36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كنت سكنت في جزيرة الحمراء حديقة البيان فاعلم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نّا نطلق </w:t>
      </w:r>
    </w:p>
    <w:p>
      <w:pPr>
        <w:pStyle w:val="PlainText"/>
        <w:numPr>
          <w:ilvl w:val="0"/>
          <w:numId w:val="3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الط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عَام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ونريد نقطة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صرف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في مقام ومن </w:t>
      </w:r>
    </w:p>
    <w:p>
      <w:pPr>
        <w:pStyle w:val="PlainText"/>
        <w:numPr>
          <w:ilvl w:val="0"/>
          <w:numId w:val="3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وجهة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خر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سرّ الصّمدي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في مقام وطلعة النّور ومجرد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 وهيكل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ذي جعله المعتدون مسجونًا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ومستورًا في البلاد في مقام فسبحان اللّه عم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 اكتسبت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يدي النّاس فما اللّه بغافل عم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كان النّاس هم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يعملون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فلمّا تموّجت في ذلك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نار المحب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في قلب البهاء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تغنّ حمامة العبودي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في سماء العماء ويرن هدهد الن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وسط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جواء وتحرق شجرة الط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ور لنفسه بنار نفسه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فوق تابوت الش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هادة عن خلف القاف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مضاء وتكف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نملة العبودي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في واد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في ذلك الل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يل بالس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رّ الوفاء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ريد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 تلك الآية بما 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مني اللّه في ذلك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بفضله وجوده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 لهو العزيز الوه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اب فاشهد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</w:p>
    <w:p>
      <w:pPr>
        <w:pStyle w:val="PlainText"/>
        <w:numPr>
          <w:ilvl w:val="0"/>
          <w:numId w:val="2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الط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عَام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يكون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بحر الغيب الّذي هو المكنون في صحائف النّور والمخزون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في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لواح المسطور </w:t>
      </w:r>
    </w:p>
    <w:p>
      <w:pPr>
        <w:pStyle w:val="PlainText"/>
        <w:numPr>
          <w:ilvl w:val="0"/>
          <w:numId w:val="2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fa-IR"/>
        </w:rPr>
        <w:t xml:space="preserve">و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مظهر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مر في تلك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</w:p>
    <w:p>
      <w:pPr>
        <w:pStyle w:val="PlainText"/>
        <w:numPr>
          <w:ilvl w:val="0"/>
          <w:numId w:val="2"/>
        </w:numPr>
        <w:bidi w:val="1"/>
        <w:ind w:left="360" w:right="0" w:hanging="36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fa-IR"/>
        </w:rPr>
        <w:t xml:space="preserve">و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 xml:space="preserve">بَنِي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سْرَائِيْل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هل البيان وكان ذلك 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الط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</w:rPr>
        <w:t>عَام</w:t>
      </w:r>
      <w:r>
        <w:rPr>
          <w:rFonts w:ascii="Traditional Arabic" w:hAnsi="Traditional Arabic" w:eastAsia="MS Mincho;ＭＳ 明朝" w:cs="Traditional Arabic"/>
          <w:color w:val="006600"/>
          <w:sz w:val="44"/>
          <w:sz w:val="44"/>
          <w:szCs w:val="44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حل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لهم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راد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يصعد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سماء العناية ويشرب ماء الط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من تلك الز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جاجة كؤب العبودي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تي لم يكن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 كمثل 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>[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فَيْء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]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بل استغفر اللّه من ذلك الت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حديد فسبحان اللّه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عمّا يقولون 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المون في وصفه تسبيحًا كبيرًا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فآه آه لو تَمَو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جَ عَلَ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يَّ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رشحًا من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بحر الإذن من سلطان العماء ومليك البهاء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لفس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رت تلك الآية بلحنات الر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وحانيين وربوات المقد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سين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نغمات المنجذبين ولم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ما اشم رايحة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مضاء بعد القضاء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ليكفين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ك فيما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لقيت عليك ليكون دليلاً لل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ذينهم كانوا في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 ربّهم متذك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رون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ذا تصط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لت بتصط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 نار الوداد وتلذ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بتلذ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ذ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ثر المداد في ذلك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لواح السّداد فاشهد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يقن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نّي ما اد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عيت شيئًا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لّا العبودي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ة لله الحق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وكان اللّه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حكمي عمّا كان النّاس هم يفترون قل ويل لكم عمّا اكتسبت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يديكم ستردون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عالم الغيب والش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هاد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نتم فيها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لتسئلون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هل الملأ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تتعجّبوا عن صنع اللّه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رحمة اللّه وبركاته عليكم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هل البيان لو كنتم تعلمون اتّقوا اللّه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ثمّ اعلموا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صنع اللّه يستض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بمثل سراج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زلي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بين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صنع النّاس كيف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نتم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تتفك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رون ولا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تشهدون فآه آه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فو الّذي قد استكف ورقاء المحزون في صدر البهاء لنسيت كلّما شهدت من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 يوم الّذي شربت لبن المصف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ثدي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مِّي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حينئذ بما اكتسبت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يدي النّاس وكان اللّه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يعلم كل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ما كان النّاس هم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يعلمون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هل العماء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اخرجوا من مساكنكم للحضور في حرم النّور عماء الظ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هور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بيت اللّه ال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كبر الّتي حكمه في لوح الفؤاد 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ذن اللّه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العلي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قد كان مشهودًا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نّي اختم الكلام بما غنّت حمامة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النّور من قبل حين وروده في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رض السّرور وكان بلحن الفؤاد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مغر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دًا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نت تعلم يا محبوبي ما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ردت لوجه اللّه معتمدًا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الصّبر منقطع منّي لحبّي جمال اللّه منكشفًا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نت تعلم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ما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راد ابن الز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في دمي متعم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دًا لا وحضرة عزّك لا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بايع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به لا خفي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 ولا جهرًا اللّه قر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 يوم دمي ثمّ دمعي عل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التّراب مُت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كِئًا فيا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ليت يومي يوم دمي كنت بالث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مُتَعط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شًا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فَسُبْحَانَ اللّهِ عَمَّا يَقُولُونَ المُشْرِكُونَ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فِي وَصْفِهِ تَسْبِيحًا كَبِيرًا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وَ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الحَمْدُ للّهِ رَب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العَالَمِينَ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بَدِيعًا 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MS Mincho;ＭＳ 明朝" w:cs="Traditional Arabic"/>
          <w:color w:val="FF0000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FF"/>
        <w:left w:val="threeDEngrave" w:sz="48" w:space="24" w:color="0000FF"/>
        <w:bottom w:val="threeDEmboss" w:sz="48" w:space="24" w:color="0000FF"/>
        <w:right w:val="threeDEmboss" w:sz="48" w:space="24" w:color="0000FF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لوح كل الطعام – 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من آثار حضرة بهاءالله – مآئده اسمانى، المجلد </w:t>
    </w:r>
    <w:r>
      <w:rPr>
        <w:rFonts w:cs="Traditional Arabic" w:ascii="Traditional Arabic" w:hAnsi="Traditional Arabic"/>
        <w:color w:val="0000FF"/>
        <w:sz w:val="28"/>
        <w:szCs w:val="28"/>
        <w:lang w:bidi="ar-JO"/>
      </w:rPr>
      <w:t>4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، الصفحات </w:t>
    </w:r>
    <w:r>
      <w:rPr>
        <w:rFonts w:cs="Traditional Arabic" w:ascii="Traditional Arabic" w:hAnsi="Traditional Arabic"/>
        <w:color w:val="0000FF"/>
        <w:sz w:val="28"/>
        <w:szCs w:val="28"/>
        <w:lang w:bidi="ar-JO"/>
      </w:rPr>
      <w:t>265</w:t>
    </w:r>
    <w:r>
      <w:rPr>
        <w:rFonts w:cs="Traditional Arabic" w:ascii="Traditional Arabic" w:hAnsi="Traditional Arabic"/>
        <w:color w:val="0000FF"/>
        <w:sz w:val="28"/>
        <w:szCs w:val="28"/>
        <w:rtl w:val="true"/>
        <w:lang w:bidi="ar-JO"/>
      </w:rPr>
      <w:t xml:space="preserve"> -  </w:t>
    </w:r>
    <w:r>
      <w:rPr>
        <w:rFonts w:cs="Traditional Arabic" w:ascii="Traditional Arabic" w:hAnsi="Traditional Arabic"/>
        <w:color w:val="0000FF"/>
        <w:sz w:val="28"/>
        <w:szCs w:val="28"/>
        <w:lang w:bidi="ar-JO"/>
      </w:rPr>
      <w:t>276</w:t>
    </w:r>
    <w:r>
      <w:rPr>
        <w:rFonts w:cs="Traditional Arabic" w:ascii="Traditional Arabic" w:hAnsi="Traditional Arabic"/>
        <w:color w:val="0000FF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  <w:sz w:val="44"/>
        <w:szCs w:val="44"/>
        <w:rFonts w:cs="Symbol"/>
      </w:rPr>
    </w:lvl>
  </w:abstractNum>
  <w:abstractNum w:abstractNumId="2"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  <w:sz w:val="44"/>
        <w:szCs w:val="44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  <w:sz w:val="44"/>
        <w:szCs w:val="44"/>
        <w:rFonts w:cs="Symbol"/>
      </w:rPr>
    </w:lvl>
  </w:abstractNum>
  <w:abstractNum w:abstractNumId="4"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  <w:sz w:val="44"/>
        <w:szCs w:val="44"/>
        <w:rFonts w:cs="Symbol"/>
      </w:rPr>
    </w:lvl>
  </w:abstractNum>
  <w:abstractNum w:abstractNumId="5"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  <w:sz w:val="44"/>
        <w:szCs w:val="44"/>
        <w:rFonts w:cs="Symbol"/>
        <w:lang w:bidi="ar-JO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eastAsia="MS Mincho;ＭＳ 明朝" w:cs="Symbol"/>
      <w:sz w:val="44"/>
      <w:szCs w:val="4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eastAsia="MS Mincho;ＭＳ 明朝" w:cs="Symbol"/>
      <w:sz w:val="44"/>
      <w:szCs w:val="4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eastAsia="MS Mincho;ＭＳ 明朝" w:cs="Symbol"/>
      <w:sz w:val="44"/>
      <w:szCs w:val="4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eastAsia="MS Mincho;ＭＳ 明朝" w:cs="Symbol"/>
      <w:sz w:val="44"/>
      <w:szCs w:val="4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eastAsia="MS Mincho;ＭＳ 明朝" w:cs="Symbol"/>
      <w:sz w:val="44"/>
      <w:szCs w:val="44"/>
      <w:lang w:bidi="ar-JO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