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b/>
          <w:b/>
          <w:bCs/>
          <w:sz w:val="48"/>
          <w:szCs w:val="48"/>
        </w:rPr>
      </w:pPr>
      <w:r>
        <w:rPr>
          <w:rFonts w:eastAsia="Arial Unicode MS" w:cs="Traditional Arabic" w:ascii="Traditional Arabic" w:hAnsi="Traditional Arabic"/>
          <w:b/>
          <w:bCs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center"/>
        <w:rPr/>
      </w:pPr>
      <w:r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 w:val="48"/>
          <w:szCs w:val="48"/>
          <w:rtl w:val="true"/>
        </w:rPr>
        <w:t>هو العجمّى الفارسى العراقى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b/>
          <w:b/>
          <w:bCs/>
          <w:color w:val="0000CC"/>
          <w:sz w:val="48"/>
          <w:szCs w:val="48"/>
        </w:rPr>
      </w:pPr>
      <w:r>
        <w:rPr>
          <w:rFonts w:eastAsia="Arial Unicode MS" w:cs="Traditional Arabic" w:ascii="Traditional Arabic" w:hAnsi="Traditional Arabic"/>
          <w:b/>
          <w:bCs/>
          <w:color w:val="0000CC"/>
          <w:sz w:val="48"/>
          <w:szCs w:val="48"/>
          <w:rtl w:val="true"/>
        </w:rPr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eastAsia="Arial Unicode MS" w:cs="Traditional Arabic" w:ascii="Traditional Arabic" w:hAnsi="Traditional Arabic"/>
          <w:sz w:val="48"/>
          <w:szCs w:val="48"/>
          <w:rtl w:val="true"/>
        </w:rPr>
      </w:r>
    </w:p>
    <w:p>
      <w:pPr>
        <w:pStyle w:val="PlainText"/>
        <w:bidi w:val="1"/>
        <w:ind w:left="0" w:right="0" w:firstLine="720"/>
        <w:jc w:val="both"/>
        <w:rPr>
          <w:rFonts w:ascii="Traditional Arabic" w:hAnsi="Traditional Arabic" w:eastAsia="Arial Unicode MS" w:cs="Traditional Arabic"/>
          <w:sz w:val="48"/>
          <w:szCs w:val="48"/>
        </w:rPr>
      </w:pP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چون اهل فُلك الهى باذن ملاّح قدسى در سفينه قدمى باسمى از اسما تشبّث نموده بر  بحر اسما رو ان گشتند و قطع مراحل تحديد نمودند كه شايد بيمن همّت سلطان تفريد بشاطى توحيد درآيند و از جام تجريد بنو شند بارى باعانت ربّانى آن فُلك صمدانى بر آب حكمت روحانى حركت مينمود و سير ميفرمود تا بمقامى رسيدند كه اسم ساكن از اسم مجرى سبقت گرفت و غالب شد لذا سفينهء روح سكون يافت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از حركت ممنوع گشت در اينوقت حكم محكم ربّانى از سماء قدس لا يزالى نازل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شد و ملاّح بقا مأمور گشت كه حرفى از كلمه اخفى بر اهل فلك تعليم فرمايد تا باعانت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غيبى از وادى حيرت نفسانى بگذرند و بفضاى با فضاى و حدت روحانى درآيند و بقاف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بقاى جان و لقاى حضرت جانان و اصل شوند و چون اهل كشتى بكلمه دوست معنوى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فائز گشتند فى الفور پر معنى گشودند و در هواى قدسى پرو از نمودند و بفضل الهى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رحمت سبحانى از عقبات نفس و هوى و دركات غفلت و عمى گذشتند و در اين وقت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نسايم رضوان از مكمن رحمان بر هياكلشان و زيد و بعد از طيران در هواى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قرب الهى و سير مقامات معنو ى در محل امن و امان و منتهى وطن عاشقان نزول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نمودند و سكّان آنمقام بخدمت و احسان قيام نمودند در اين وقت غلمان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باقى و ساقى قدسى خمر ياقوتى ابذال فرمود بقسمى سكر خمر معارف الهيه و كأس حكمت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صمدانيّه جذب و و له آورد و از هستى خود و موجودات رستند و بجمال دوست دل بستند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قرنها و عهدها در آنمقام خوش روحانى و گلزار قدس رحمانى با كمال فرح و انبساط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مسكن و مقر داشتند تا آنكه نسايم امتحان سبحانى و ارياح افتتان سلطانى از سباى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امر لا يزالى بو زيد تا آنكه بجمال ساقى اشتغال نموده و از وجه باقى غفلت نمودند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بقسميكه ظل را شمس و اشباح را نور انگاشتند و قصد معارج اسم اعظم نموده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اند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كه در آن هوا طيران نمايند و بان مقعد و محل و ارد شوند و چون عروج نمودند صرّافان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الهى با مجل قدسى بامر مبرم ربانى بر ايشان نازل شدند و چون ارياح غلام معنو ى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استشمام ننمودند جميع را منع نمودند و بعد و اقع شد آنچه در لوح محفوظ مسطور گشت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پس اى اكنان بساط حُب الهى و اى شاربان خمر رحمت صمدانى قرب جمال دوست را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بدوجهان تبديل ننمائيد و از لقاى او بلقاى ساقى نپردازيد و از خمر علم و حكمت او بخمر جهل و غفلت دل مبنديد لب محل ذكر محبوبست اورا باب كثيف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ميالائيد و دل منزل اسرار باقيست اورا بتوجه اشياء فانى مشغول نداريد آب حيات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از كوثر جمال سبحان جو ئيد نه از مظاهر شيطان بارى اين غلام فانى در منتهى مقام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حُب دوستان الهى را ببدايع نصح احديه وجواهر حكمت سلطان صمديه متذكر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مينمايد كه شايد نفسى قدمروى و مردانگى علم نمايد و از قميص غفلت و شهوت بيرون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آيد و چون جمال منير دوست پاك و منير و مقدس در ارض حُب و انقطاع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ود و ارتفاع سير نمايد اقلاً اينقدر از انوار صبح مبين و ظهور يوم مبين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اخذ نمايند كه ظاهر و باطن خودرا متّحد نمايند از علّو تجريد و سموّ توحيد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تنزيه كبرى و تقديس عظمى گذشتيم حال سعى بليغ و اهتمام منيع نمائيد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كه اسرار باطن مخالف اعمال ظاهر و افعال ظاهر معارض اسرار باطن نباشد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از انفاق جان در سبيل جانان گذشتيم بانفاق عدل و انصاف بر نفوس خود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قيام نمايند آخر يعنى قميص حرص و آمال نفسانى از ثوب تقديس رحمانى ترجيح ميدهيد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نغمهء عندليب بقارا بصوت منكر فنا از اهل بغى و بغضا مبادله ميكنيد فبِئس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ما انتُم تستبدلون انّا للّه و انّا اليه راجعون انشاء الله اميدواريم كه هياكل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عزّ باقى بطراز قدسى و شئون الهى چون شمس صمدى روشن و لطيف و پاك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 xml:space="preserve"> </w:t>
      </w:r>
      <w:r>
        <w:rPr>
          <w:rFonts w:ascii="Traditional Arabic" w:hAnsi="Traditional Arabic" w:eastAsia="Arial Unicode MS" w:cs="Traditional Arabic"/>
          <w:sz w:val="48"/>
          <w:sz w:val="48"/>
          <w:szCs w:val="48"/>
          <w:rtl w:val="true"/>
        </w:rPr>
        <w:t>و طاهر ظاهر شود ليس هذا على الله بعزيز</w:t>
      </w:r>
    </w:p>
    <w:p>
      <w:pPr>
        <w:pStyle w:val="PlainText"/>
        <w:bidi w:val="1"/>
        <w:ind w:left="0" w:right="0" w:hanging="0"/>
        <w:jc w:val="both"/>
        <w:rPr>
          <w:rFonts w:ascii="Traditional Arabic" w:hAnsi="Traditional Arabic" w:eastAsia="Arial Unicode MS" w:cs="Traditional Arabic"/>
          <w:color w:val="FF0000"/>
          <w:sz w:val="48"/>
          <w:szCs w:val="48"/>
        </w:rPr>
      </w:pPr>
      <w:r>
        <w:rPr>
          <w:rFonts w:eastAsia="Arial Unicode MS" w:cs="Traditional Arabic" w:ascii="Traditional Arabic" w:hAnsi="Traditional Arabic"/>
          <w:color w:val="FF0000"/>
          <w:sz w:val="48"/>
          <w:szCs w:val="48"/>
          <w:rtl w:val="true"/>
        </w:rPr>
      </w:r>
    </w:p>
    <w:p>
      <w:pPr>
        <w:pStyle w:val="Normal"/>
        <w:jc w:val="both"/>
        <w:rPr>
          <w:rFonts w:ascii="Traditional Arabic" w:hAnsi="Traditional Arabic" w:cs="Traditional Arabic"/>
          <w:color w:val="FF0000"/>
          <w:sz w:val="48"/>
          <w:szCs w:val="48"/>
        </w:rPr>
      </w:pPr>
      <w:r>
        <w:rPr>
          <w:rFonts w:cs="Traditional Arabic" w:ascii="Traditional Arabic" w:hAnsi="Traditional Arabic"/>
          <w:color w:val="FF0000"/>
          <w:sz w:val="48"/>
          <w:szCs w:val="48"/>
        </w:rPr>
      </w:r>
    </w:p>
    <w:sectPr>
      <w:headerReference w:type="default" r:id="rId2"/>
      <w:footerReference w:type="default" r:id="rId3"/>
      <w:type w:val="nextPage"/>
      <w:pgSz w:w="12240" w:h="15840"/>
      <w:pgMar w:left="1440" w:right="1440" w:header="720" w:top="2160" w:footer="720" w:bottom="2160" w:gutter="0"/>
      <w:pgBorders w:display="allPages" w:offsetFrom="page">
        <w:top w:val="threeDEngrave" w:sz="48" w:space="24" w:color="0000CC"/>
        <w:left w:val="threeDEngrave" w:sz="48" w:space="24" w:color="0000CC"/>
        <w:bottom w:val="threeDEmboss" w:sz="48" w:space="24" w:color="0000CC"/>
        <w:right w:val="threeDEmboss" w:sz="48" w:space="24" w:color="0000CC"/>
      </w:pgBorders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ourier New">
    <w:charset w:val="00"/>
    <w:family w:val="modern"/>
    <w:pitch w:val="default"/>
  </w:font>
  <w:font w:name="Traditional Arabic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Footer"/>
      <w:tabs>
        <w:tab w:val="center" w:pos="4320" w:leader="none"/>
        <w:tab w:val="center" w:pos="4680" w:leader="none"/>
        <w:tab w:val="right" w:pos="8640" w:leader="none"/>
      </w:tabs>
      <w:jc w:val="center"/>
      <w:rPr>
        <w:rFonts w:ascii="Courier New" w:hAnsi="Courier New" w:cs="Courier New"/>
        <w:color w:val="0000FF"/>
      </w:rPr>
    </w:pPr>
    <w:r>
      <w:rPr>
        <w:rFonts w:cs="Courier New" w:ascii="Courier New" w:hAnsi="Courier New"/>
        <w:color w:val="0000FF"/>
      </w:rPr>
      <w:t>www.oceanoflights.org</w:t>
    </w:r>
  </w:p>
</w:ftr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bidi w:val="1"/>
      <w:ind w:left="0" w:right="360" w:hanging="0"/>
      <w:jc w:val="left"/>
      <w:rPr/>
    </w:pP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لوح ملاح القدس 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>(</w:t>
    </w: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>قسمت فارسى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>)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– </w:t>
    </w:r>
    <w:r>
      <w:rPr>
        <w:rFonts w:ascii="Traditional Arabic" w:hAnsi="Traditional Arabic" w:cs="Traditional Arabic"/>
        <w:b/>
        <w:b/>
        <w:bCs/>
        <w:color w:val="0000CC"/>
        <w:rtl w:val="true"/>
        <w:lang w:bidi="ar-JO"/>
      </w:rPr>
      <w:t xml:space="preserve">اثر حضرت بهاءالله – بر اساس نسخه در مائده آسمانى صفحه </w:t>
    </w:r>
    <w:r>
      <w:rPr>
        <w:rFonts w:cs="Traditional Arabic" w:ascii="Traditional Arabic" w:hAnsi="Traditional Arabic"/>
        <w:b/>
        <w:bCs/>
        <w:color w:val="0000CC"/>
        <w:lang w:bidi="ar-JO"/>
      </w:rPr>
      <w:t>339</w:t>
    </w:r>
    <w:r>
      <w:rPr>
        <w:rFonts w:cs="Traditional Arabic" w:ascii="Traditional Arabic" w:hAnsi="Traditional Arabic"/>
        <w:b/>
        <w:bCs/>
        <w:color w:val="0000CC"/>
        <w:rtl w:val="true"/>
        <w:lang w:bidi="ar-JO"/>
      </w:rPr>
      <w:t xml:space="preserve"> </w:t>
    </w:r>
  </w:p>
</w:hdr>
</file>

<file path=word/settings.xml><?xml version="1.0" encoding="utf-8"?>
<w:settings xmlns:w="http://schemas.openxmlformats.org/wordprocessingml/2006/main">
  <w:zoom w:percent="100"/>
  <w:defaultTabStop w:val="720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</w:pPr>
    <w:rPr>
      <w:rFonts w:ascii="Times New Roman" w:hAnsi="Times New Roman" w:eastAsia="Times New Roman" w:cs="Times New Roman"/>
      <w:color w:val="auto"/>
      <w:sz w:val="24"/>
      <w:szCs w:val="24"/>
      <w:lang w:val="en-US" w:bidi="fa-IR" w:eastAsia="zh-CN"/>
    </w:rPr>
  </w:style>
  <w:style w:type="character" w:styleId="DefaultParagraphFont">
    <w:name w:val="Default Paragraph Font"/>
    <w:qFormat/>
    <w:rPr/>
  </w:style>
  <w:style w:type="character" w:styleId="PageNumber">
    <w:name w:val="Page Number"/>
    <w:basedOn w:val="DefaultParagraphFont"/>
    <w:rPr/>
  </w:style>
  <w:style w:type="character" w:styleId="FooterChar">
    <w:name w:val="Footer Char"/>
    <w:qFormat/>
    <w:rPr>
      <w:sz w:val="24"/>
      <w:szCs w:val="24"/>
      <w:lang w:bidi="fa-I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Lucida 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ucida Sans"/>
    </w:rPr>
  </w:style>
  <w:style w:type="paragraph" w:styleId="PlainText">
    <w:name w:val="Plain Text"/>
    <w:basedOn w:val="Normal"/>
    <w:qFormat/>
    <w:pPr/>
    <w:rPr>
      <w:rFonts w:ascii="Courier New" w:hAnsi="Courier New" w:cs="Courier New"/>
      <w:sz w:val="20"/>
      <w:szCs w:val="20"/>
      <w:lang w:bidi="ar-SA"/>
    </w:rPr>
  </w:style>
  <w:style w:type="paragraph" w:styleId="Header">
    <w:name w:val="Header"/>
    <w:basedOn w:val="Normal"/>
    <w:pPr>
      <w:tabs>
        <w:tab w:val="center" w:pos="4320" w:leader="none"/>
        <w:tab w:val="right" w:pos="8640" w:leader="none"/>
      </w:tabs>
    </w:pPr>
    <w:rPr/>
  </w:style>
  <w:style w:type="paragraph" w:styleId="Footer">
    <w:name w:val="Footer"/>
    <w:basedOn w:val="Normal"/>
    <w:pPr>
      <w:tabs>
        <w:tab w:val="center" w:pos="4320" w:leader="none"/>
        <w:tab w:val="right" w:pos="8640" w:leader="none"/>
      </w:tabs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oter" Target="footer1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Application>LibreOffice/6.0.0.3$Windows_x86 LibreOffice_project/64a0f66915f38c6217de274f0aa8e15618924765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2016-05-31T17:33:00Z</dcterms:created>
  <dc:creator/>
  <dc:description/>
  <dc:language>en-US</dc:language>
  <cp:lastModifiedBy/>
  <dcterms:modified xsi:type="dcterms:W3CDTF">2016-05-31T17:33:00Z</dcterms:modified>
  <cp:revision>1</cp:revision>
  <dc:subject/>
  <dc:title/>
</cp:coreProperties>
</file>