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/>
      </w:pP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 هُوَ اللّهُ تَعَالَی شَأْنُهُ الکِبْرِ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يَاء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tabs>
          <w:tab w:val="left" w:pos="7800" w:leader="none"/>
        </w:tabs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ab/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ای سلمان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در هر امور اقتدا بحق کن و بقضايای الهی راضی باش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ملاحظه کن که اين غلام مع انکه از جميع جهات بر حسب ظاهر امور بر او سخت شده و ابواب ظاهره مسدود گشته و در کلّ حين شياطين بر اطفاء سراج اللّه و اخماد نار او مشغولند چنان منير و مستض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یء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است که بِه أشرقت السّموات و الأرض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چنان ما بين ناس مشهود که گويا ابداً ضرّی بر او وارد نشده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از علوّ و دنوّ و عزّت و ذلّت دنيا منال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در کلّ أحوال بما ناظر باش چه که کل آنچه مشهود مفقود خواهد شد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اينکه مشاهده مينمائی که بعضی از ناس بعزّت دنيا مسرورند و بعلوّ آن مغرور اين از غفلت آن نفوس است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هر ذی بصر و ذی نظری شهادت ميدهد که اين قول حق است و اين بيان از مشرق تبيان اشراق نموده چه که کلّ عالمند باينکه جميع اين امورات غير معتبر و غير ثابت است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چون رسول موت وارد شود جميع متغيّر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لذا معلوم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محقّق است نفوسيکه باين امور دل بسته‌اند غافلند و از غفلت است که باين أسباب ظاهره مشغول شده‌اند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در لوحی از الواح نازل که از جمله علامت بلوغ دنيا آن است که نفسی تحمل امر سلطنت ننمايد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سلطنت بماند و احدی اقبال نکند که وحده تحمّل آن نمايد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آن أيّام أيّام ظهور عقل است ما بين بريّه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مگر انکه نفسی لإظهار أمر اللّه و انتشار دين او حمل اين ثقل عظيم نمايد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نيکو است حال او که لحبّ اللّه و أمره و لوجه اللّه و إظهار دينه خود را باين خطر عظيم اندازد و قبول اين مشقّت و زحمت نمايد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اين است که در الواح نازل که دعای چنين سلطان و محبّت او لازم است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ای سلمان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دنيا در مرور است و عنقريب کلّ مَنْ علی الأرض از آنچه مشاهده مينمائی بتراب راجع خواهند شد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 xml:space="preserve">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از خدا ميطلبيم که جميع احبّای خود را مؤيّد فرمايد که استنشاق طيب گلزار معنوی نمايند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هر نفسی بآن فائز شد ابدا بغير اللّه ناظر نبوده و نخواهد بود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بقضايای او راضی و صابر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شاکر خواهد شد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محزون مباش که بلقاء فائز نشدی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قد کتب اللّه لک أجرَ من حضر بين يديه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إن شاء اللّه سعی کن که از تو اعمال حق ظاهر شود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بناری مشتعل باشی که جميع از تو کسب حرارت کنند أن أَقْبِل الی اللّه بقلب طاهر و نفس زکيّة و لسان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صادق و بصر مقدّس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ثمّ ادعوه فی کلّ الأحوال إنّه معينُ مَنْ أقبل إليه و إنّه لهو الغفور الرّحيم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قد سمعنا ضجيجَ الأسراء من أهلی و أحبّتی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للّه الحمد بما جعلونی و أهلی و أحبّتی أساری فی سبيله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لو تزول الشّمسُ لا يزول هذا الذّکر فسوف يظهرُ اللّه ما أراد إنّه لهو العزيز القدير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از برای احدی از اسراء إلّا اسم اللّه ميم عليه بهاء اللّه نظر بحکمت لوح نازل نشد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لکن جميعرا تکبير برسانيد و امور کل مشهود است يک لوح مخصوص جناب عبدالوهّاب نازل شد برسانيد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لو نزل بلسان القوم و قواعدهم الظّاهرة و لکن يکفی مَنْ علی الأرض لو هم يشعرون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در الواح اطراف اسم معيّن نشده و لکن عند اللّه معلوم و مشهود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هر يک از الواح باقتضاء نازل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*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طوبی لمن يعرفُ و يکونُ من الشّاکرين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يک جعبه نبات بجهت حضرات موصل داده شد برسانيد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نسألک اللّهمّ بالّذين جعلهم الأشقياءُ أساری من الزّوراء إلی الحدباء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بالنّسبة الّتی کانت بينهم و بين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مظهر أمرک بأن تثبّتَ أحبّاءَک علی حبّک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ثمّ استقمهم علی ما کانوا عليه فی انتشار أمرک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فيا إلهی أنت تری و تعلم ما ورد عليهم فی حبّک و رضائک بحيث بَکتْ عليهم عيونُ أصفيائک و أهلُ سرادق مجدک أسألک بأن لا تحرمهم من عواطفک و ألطافک ثمّ أسکنهم فی جوار رحمتک فی الدُّنيا و الآخرة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إنّک انت علی کلّ شئ قدير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 xml:space="preserve">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b/>
        <w:b/>
        <w:bCs/>
        <w:color w:val="0000CC"/>
        <w:rtl w:val="true"/>
        <w:lang w:bidi="ar-JO"/>
      </w:rPr>
      <w:t xml:space="preserve">لوح سلمان </w:t>
    </w:r>
    <w:r>
      <w:rPr>
        <w:rFonts w:cs="Traditional Arabic" w:ascii="Traditional Arabic" w:hAnsi="Traditional Arabic"/>
        <w:b/>
        <w:bCs/>
        <w:color w:val="0000CC"/>
        <w:rtl w:val="true"/>
        <w:lang w:bidi="ar-JO"/>
      </w:rPr>
      <w:t>(</w:t>
    </w:r>
    <w:r>
      <w:rPr>
        <w:rFonts w:cs="Traditional Arabic" w:ascii="Traditional Arabic" w:hAnsi="Traditional Arabic"/>
        <w:b/>
        <w:bCs/>
        <w:color w:val="0000CC"/>
        <w:lang w:bidi="ar-JO"/>
      </w:rPr>
      <w:t>2</w:t>
    </w:r>
    <w:r>
      <w:rPr>
        <w:rFonts w:cs="Traditional Arabic" w:ascii="Traditional Arabic" w:hAnsi="Traditional Arabic"/>
        <w:b/>
        <w:bCs/>
        <w:color w:val="0000CC"/>
        <w:rtl w:val="true"/>
        <w:lang w:bidi="ar-JO"/>
      </w:rPr>
      <w:t xml:space="preserve">) – </w:t>
    </w:r>
    <w:r>
      <w:rPr>
        <w:rFonts w:ascii="Traditional Arabic" w:hAnsi="Traditional Arabic" w:cs="Traditional Arabic"/>
        <w:b/>
        <w:b/>
        <w:bCs/>
        <w:color w:val="0000CC"/>
        <w:rtl w:val="true"/>
        <w:lang w:bidi="ar-JO"/>
      </w:rPr>
      <w:t xml:space="preserve">اثر حضرت بهاءالله – مجموعه الواح مباركه چاپ مصر صفحه </w:t>
    </w:r>
    <w:r>
      <w:rPr>
        <w:rFonts w:cs="Traditional Arabic" w:ascii="Traditional Arabic" w:hAnsi="Traditional Arabic"/>
        <w:b/>
        <w:bCs/>
        <w:color w:val="0000CC"/>
        <w:lang w:bidi="ar-JO"/>
      </w:rPr>
      <w:t>124</w:t>
    </w:r>
    <w:r>
      <w:rPr>
        <w:rFonts w:cs="Traditional Arabic" w:ascii="Traditional Arabic" w:hAnsi="Traditional Arabic"/>
        <w:b/>
        <w:bCs/>
        <w:color w:val="0000CC"/>
        <w:rtl w:val="true"/>
        <w:lang w:bidi="ar-JO"/>
      </w:rPr>
      <w:t>-</w:t>
    </w:r>
    <w:r>
      <w:rPr>
        <w:rFonts w:cs="Traditional Arabic" w:ascii="Traditional Arabic" w:hAnsi="Traditional Arabic"/>
        <w:b/>
        <w:bCs/>
        <w:color w:val="0000CC"/>
        <w:lang w:bidi="ar-JO"/>
      </w:rPr>
      <w:t>128</w:t>
    </w:r>
    <w:r>
      <w:rPr>
        <w:rFonts w:cs="Traditional Arabic" w:ascii="Traditional Arabic" w:hAnsi="Traditional Arabic"/>
        <w:b/>
        <w:bCs/>
        <w:color w:val="0000CC"/>
        <w:rtl w:val="true"/>
        <w:lang w:bidi="ar-JO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fa-IR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  <w:lang w:bidi="fa-I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  <w:lang w:bidi="ar-SA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