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4A3B" w14:textId="77777777" w:rsidR="0038171B" w:rsidRDefault="00DE13D5">
      <w:pPr>
        <w:pStyle w:val="PlainText"/>
        <w:bidi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قَدْ نُزِّلَ لِأَحَدٍ مِنَ ال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أَ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طِبَّاءِ عَلَيْهِ بَهَاء اللّه </w:t>
      </w:r>
    </w:p>
    <w:p w14:paraId="4466AB8D" w14:textId="77777777" w:rsidR="0038171B" w:rsidRDefault="0038171B">
      <w:pPr>
        <w:pStyle w:val="PlainText"/>
        <w:bidi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</w:p>
    <w:p w14:paraId="31D00C47" w14:textId="77777777" w:rsidR="0038171B" w:rsidRDefault="00DE13D5">
      <w:pPr>
        <w:pStyle w:val="PlainText"/>
        <w:bidi/>
        <w:jc w:val="center"/>
      </w:pPr>
      <w:r>
        <w:rPr>
          <w:rFonts w:ascii="Traditional Arabic" w:eastAsia="MS Mincho;ＭＳ 明朝" w:hAnsi="Traditional Arabic" w:cs="Traditional Arabic"/>
          <w:b/>
          <w:bCs/>
          <w:color w:val="0000CC"/>
          <w:sz w:val="48"/>
          <w:szCs w:val="48"/>
          <w:rtl/>
        </w:rPr>
        <w:t>﴿</w:t>
      </w:r>
      <w:r>
        <w:rPr>
          <w:rFonts w:ascii="Traditional Arabic" w:eastAsia="MS Mincho;ＭＳ 明朝" w:hAnsi="Traditional Arabic" w:cs="Traditional Arabic"/>
          <w:b/>
          <w:bCs/>
          <w:color w:val="0000CC"/>
          <w:sz w:val="48"/>
          <w:szCs w:val="48"/>
          <w:rtl/>
        </w:rPr>
        <w:t xml:space="preserve">  هو اللّه ال</w:t>
      </w:r>
      <w:r>
        <w:rPr>
          <w:rFonts w:ascii="Traditional Arabic" w:eastAsia="MS Mincho;ＭＳ 明朝" w:hAnsi="Traditional Arabic" w:cs="Traditional Arabic"/>
          <w:b/>
          <w:bCs/>
          <w:color w:val="0000CC"/>
          <w:sz w:val="48"/>
          <w:szCs w:val="48"/>
          <w:rtl/>
        </w:rPr>
        <w:t>أ</w:t>
      </w:r>
      <w:r>
        <w:rPr>
          <w:rFonts w:ascii="Traditional Arabic" w:eastAsia="MS Mincho;ＭＳ 明朝" w:hAnsi="Traditional Arabic" w:cs="Traditional Arabic"/>
          <w:b/>
          <w:bCs/>
          <w:color w:val="0000CC"/>
          <w:sz w:val="48"/>
          <w:szCs w:val="48"/>
          <w:rtl/>
        </w:rPr>
        <w:t xml:space="preserve">علم </w:t>
      </w:r>
      <w:r>
        <w:rPr>
          <w:rFonts w:ascii="Traditional Arabic" w:eastAsia="MS Mincho;ＭＳ 明朝" w:hAnsi="Traditional Arabic" w:cs="Traditional Arabic"/>
          <w:b/>
          <w:bCs/>
          <w:color w:val="0000CC"/>
          <w:sz w:val="48"/>
          <w:szCs w:val="48"/>
          <w:rtl/>
        </w:rPr>
        <w:t>﴾</w:t>
      </w:r>
    </w:p>
    <w:p w14:paraId="1573C149" w14:textId="77777777" w:rsidR="0038171B" w:rsidRDefault="00DE13D5">
      <w:pPr>
        <w:pStyle w:val="PlainText"/>
        <w:bidi/>
        <w:jc w:val="center"/>
        <w:rPr>
          <w:rFonts w:ascii="Traditional Arabic" w:eastAsia="MS Mincho;ＭＳ 明朝" w:hAnsi="Traditional Arabic" w:cs="Traditional Arabic"/>
          <w:sz w:val="48"/>
          <w:szCs w:val="48"/>
        </w:rPr>
      </w:pP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لسان الق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ِ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دَم ينطق بما يكون غنية الألبّاء عند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غيبة الأطباء</w:t>
      </w:r>
    </w:p>
    <w:p w14:paraId="14CAB78F" w14:textId="77777777" w:rsidR="0038171B" w:rsidRDefault="0038171B">
      <w:pPr>
        <w:pStyle w:val="PlainText"/>
        <w:bidi/>
        <w:ind w:firstLine="720"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</w:p>
    <w:p w14:paraId="3FF0989B" w14:textId="459FCF50" w:rsidR="0038171B" w:rsidRDefault="00DE13D5">
      <w:pPr>
        <w:pStyle w:val="PlainText"/>
        <w:bidi/>
        <w:ind w:firstLine="720"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قل يا قوم لا تأكلوا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لّا بعد الجوع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لا تشربوا بعد الهجوع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نِعم الرّياضة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ى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الخلاء بها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تقو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الأعضاء وعند الامتلاء داهية دهماء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لا تترك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العلاج عند الاحتياج ودعه عند استقامة المزاج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لا تباشر الغذاء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لّا بعد الهضم ولا تزدرد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لّا بعد أن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يكمل القضم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عالج العل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ة أوّلا بالأغذية ولا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تجاوز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الأدوية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إن حصل لك ما أردت من المفردات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لا تعدل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المرك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دع الد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واء عند السّلامة وخذه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عند الحاجة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ذا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اجتمع الضد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ان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الخوان لا تخلطهما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فاقنع بواحد منهما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بادر أوّلا بالرّقيق قبل الغليظ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بالمائع قبل الجامد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إدخال الط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عام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الط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عام خطر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كن منه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حذر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ذا شرعت ف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ي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الأكل فابتدئ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باسمي الأبه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ثمّ اختم باسم ربّك مالك العرش والثّر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 وإ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ذا أكلت فامش قليلا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لاستقرار الغذاء وما عسر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قضمه منهيّ عنه عند أولي النّه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lastRenderedPageBreak/>
        <w:t>كذلك يأمرك القلم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الأعل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أكل القليل في الصّباح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نّه للبدن مصباح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اترك العادة المضرّة ف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نّها بليّة للبريّة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قابل الأمراض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بالأسباب وهذا القول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في هذا الباب فصل الخطاب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أن الزم القناعة في كلّ الأحوال بها تسلم النّفس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من الكسالة وسوء الحال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أن اجتنب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الهمّ والغمّ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بهما يحد</w:t>
      </w:r>
      <w:r w:rsidR="00716D11">
        <w:rPr>
          <w:rFonts w:ascii="Traditional Arabic" w:eastAsia="MS Mincho;ＭＳ 明朝" w:hAnsi="Traditional Arabic" w:cs="Traditional Arabic" w:hint="cs"/>
          <w:sz w:val="48"/>
          <w:szCs w:val="48"/>
          <w:rtl/>
        </w:rPr>
        <w:t>ث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بلاء أدهم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قل الحسد يأكل الجسد والغيظ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يحرق الكبد أن اجتنبوا منهما كما تجتنبون من الأسد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تنقية الفضول هي العمدة ولكن في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الفصول المعتدلة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الّذي تجاوز أكله تفاقم سقمه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قد قد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رنا لكلّ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شيء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سببا وأعطيناه أثرا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كلّ ذلك من تجلّي اسمي المؤثّر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ى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الأشياء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نّ ربّك هو الحاكم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ما يشاء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قل بما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بيّنّاه لا يتجاوز ال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خلاط عن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عتدال ولا مقاديرها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عن الأحوال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يبق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الأصل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صفائه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السّدس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سدس السّدس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حاله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ويسلم الفاعلان والمنفعلان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اللّه التّكلان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لا إله إلّا هو الشّافي العليم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المستعان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ما جر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ى 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القلم الأعل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مثل تلك الكلمات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لّا لحبّي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يّاك لتعلم بأنّ الهمّ ما أخذ جمال القدم ولم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يحزن عمّا ورد عليه من الأمم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والحزن لمن يفوت منه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ش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يء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ولا يفوت عن قبضته من في السّموات والأرضين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</w:p>
    <w:p w14:paraId="0C1B39DE" w14:textId="77777777" w:rsidR="0038171B" w:rsidRDefault="00DE13D5">
      <w:pPr>
        <w:pStyle w:val="PlainText"/>
        <w:bidi/>
        <w:ind w:firstLine="720"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lastRenderedPageBreak/>
        <w:t>يا طبيب اشف المرض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أوّلا بذكر ربّك مالك يوم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الت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ناد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ثمّ بما قد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رنا لصحّة أمزجة العباد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لعمري الط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بيب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الّذي شرب خمر حبّي لقاءه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شفاء ونفسه رحمة ورجاء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قل ت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مسّكوا به لاستقامة المزاج إنّه مؤيّد من اللّه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للعلاج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قل هذا العلم أشرف العلوم كلّها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نّه السّبب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الأعظم من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اللّه محيي الرّمم لحفظ أجساد الأمم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مه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العلوم والحكم ولكنّ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اليوم اليوم ال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ذي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تقوم عل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ى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نصرتي منقطعا عن العالمين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</w:p>
    <w:p w14:paraId="0B87BF09" w14:textId="77777777" w:rsidR="0038171B" w:rsidRDefault="0038171B">
      <w:pPr>
        <w:pStyle w:val="PlainText"/>
        <w:bidi/>
        <w:ind w:firstLine="720"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</w:p>
    <w:p w14:paraId="71B87763" w14:textId="77777777" w:rsidR="0038171B" w:rsidRDefault="00DE13D5">
      <w:pPr>
        <w:pStyle w:val="PlainText"/>
        <w:bidi/>
        <w:ind w:firstLine="720"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قُلْ يَا إِلَهِي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اسْمُكَ شِفَائِي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وَذِكْرُكُ دَوَائِي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وَقُرْبُكَ رَجَائِي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وَحُب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ُّ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كَ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مُؤْنِسِي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وَرَحْمَتُكَ طَبِيْبِي وَمُعِيْنِي فِي الد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ُّ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نْيا وَالآخِرَةِ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وَ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إِ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نَّكَ أَنْتَ المُعْطِي العَلِيْمُ الحَكِيْمُ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</w:p>
    <w:p w14:paraId="4CC8F6DE" w14:textId="77777777" w:rsidR="0038171B" w:rsidRDefault="0038171B">
      <w:pPr>
        <w:pStyle w:val="PlainText"/>
        <w:bidi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</w:p>
    <w:p w14:paraId="54B37DAF" w14:textId="77777777" w:rsidR="0038171B" w:rsidRDefault="00DE13D5">
      <w:pPr>
        <w:pStyle w:val="PlainText"/>
        <w:bidi/>
        <w:jc w:val="both"/>
      </w:pPr>
      <w:r>
        <w:rPr>
          <w:rFonts w:ascii="Traditional Arabic" w:eastAsia="Traditional Arabic" w:hAnsi="Traditional Arabic" w:cs="Traditional Arabic"/>
          <w:sz w:val="48"/>
          <w:szCs w:val="48"/>
          <w:rtl/>
        </w:rPr>
        <w:t xml:space="preserve">    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جميع أحبّا را من قبل اللّه تکبير برسانيد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بگو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اليوم دو أمر محبوب و مطلوب است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يکی حکمت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و بيان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و ثانی الاستقامة علی أمر ربّکم الرّحمن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هر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نفسی باين دو أمر فائز شد عند اللّه از أهل مدينه بقا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محسوب و مذکور چه که باين دو امر امر الهی ما بين عباد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ثابت شده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و خواهد شد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lastRenderedPageBreak/>
        <w:t>چه اگر حکمت و بيان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نباشد کلّ مبتلا خواهند شد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در اينصورت نفسی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باقی نه تا ناس را بشريعه أحديّه هدايت نمايد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 اگر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استقامت نباشد نفس ذاکر مؤثّر نخواهد بود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بگو ای دوستان خوف و اضطراب شأن نسوان است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 اگر أحبّای الهی فی الجمله تفکّر نمايند در دني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 اختلافات ظاهره در او لا تخوّفهم سطوة الّذين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ظلموا و يطيرنّ بأجنحة الاشتياق الی نيّر الآفاق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اين عبد انچه از برای خود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خواسته‌ام از برای کلّ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دوستان حقّ خواسته‌ام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 اينکه بحکمت و حفظ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امر شده و ميشود مقصود اين است که ذاکرين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در أرض بمانند تا بذکر ربّ العالمين مشغول شوند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لذا بر کلّ حفظ نفس خود و اخوان لأمر اللّه واجب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و لازم است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 اگر أحبّاء عامل بودند بانچه مأمورند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حال أکثر من علی الأرض بردای ايمان مزيّن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بودند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طوبی از برای نفسيکه نفسی را بشريعه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باقيه کشاند و بحياة أبديّه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دلالت نمايد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هذا من أعظم الأعمال عند ربّک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العزيز المتعال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 الرّوح عليک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>و البهاء عليک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</w:p>
    <w:p w14:paraId="04E99704" w14:textId="77777777" w:rsidR="0038171B" w:rsidRDefault="0038171B">
      <w:pPr>
        <w:jc w:val="both"/>
        <w:rPr>
          <w:rFonts w:ascii="Traditional Arabic" w:eastAsia="MS Mincho;ＭＳ 明朝" w:hAnsi="Traditional Arabic" w:cs="Traditional Arabic"/>
          <w:color w:val="000000"/>
          <w:sz w:val="48"/>
          <w:szCs w:val="48"/>
        </w:rPr>
      </w:pPr>
    </w:p>
    <w:sectPr w:rsidR="0038171B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FF21" w14:textId="77777777" w:rsidR="00DE13D5" w:rsidRDefault="00DE13D5">
      <w:r>
        <w:separator/>
      </w:r>
    </w:p>
  </w:endnote>
  <w:endnote w:type="continuationSeparator" w:id="0">
    <w:p w14:paraId="2D64685D" w14:textId="77777777" w:rsidR="00DE13D5" w:rsidRDefault="00D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;ＭＳ 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BD69" w14:textId="77777777" w:rsidR="0038171B" w:rsidRDefault="00DE13D5"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ascii="Courier New" w:hAnsi="Courier New" w:cs="Courier New"/>
        <w:color w:val="0000FF"/>
        <w:sz w:val="24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E2F5" w14:textId="77777777" w:rsidR="00DE13D5" w:rsidRDefault="00DE13D5">
      <w:r>
        <w:separator/>
      </w:r>
    </w:p>
  </w:footnote>
  <w:footnote w:type="continuationSeparator" w:id="0">
    <w:p w14:paraId="62095278" w14:textId="77777777" w:rsidR="00DE13D5" w:rsidRDefault="00DE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9038" w14:textId="77777777" w:rsidR="0038171B" w:rsidRDefault="00DE13D5">
    <w:pPr>
      <w:pStyle w:val="Header"/>
      <w:bidi/>
    </w:pPr>
    <w:r>
      <w:rPr>
        <w:rFonts w:ascii="Traditional Arabic" w:hAnsi="Traditional Arabic" w:cs="Traditional Arabic"/>
        <w:color w:val="0000CC"/>
        <w:sz w:val="28"/>
        <w:szCs w:val="28"/>
        <w:rtl/>
        <w:lang w:bidi="ar-JO"/>
      </w:rPr>
      <w:t xml:space="preserve">لوح الطب – آثار حضرة بهاءالله – مجموعة الواح مباركة، طبعة مصر، الصفحات    </w:t>
    </w:r>
    <w:r>
      <w:rPr>
        <w:rFonts w:ascii="Traditional Arabic" w:hAnsi="Traditional Arabic" w:cs="Traditional Arabic"/>
        <w:color w:val="0000CC"/>
        <w:sz w:val="28"/>
        <w:szCs w:val="28"/>
        <w:lang w:bidi="ar-JO"/>
      </w:rPr>
      <w:t>222</w:t>
    </w:r>
    <w:r>
      <w:rPr>
        <w:rFonts w:ascii="Traditional Arabic" w:hAnsi="Traditional Arabic" w:cs="Traditional Arabic"/>
        <w:color w:val="0000CC"/>
        <w:sz w:val="28"/>
        <w:szCs w:val="28"/>
        <w:rtl/>
        <w:lang w:bidi="ar-JO"/>
      </w:rPr>
      <w:t xml:space="preserve"> - </w:t>
    </w:r>
    <w:r>
      <w:rPr>
        <w:rFonts w:ascii="Traditional Arabic" w:hAnsi="Traditional Arabic" w:cs="Traditional Arabic"/>
        <w:color w:val="0000CC"/>
        <w:sz w:val="28"/>
        <w:szCs w:val="28"/>
        <w:lang w:bidi="ar-JO"/>
      </w:rPr>
      <w:t>226</w:t>
    </w:r>
    <w:r>
      <w:rPr>
        <w:rFonts w:ascii="Traditional Arabic" w:hAnsi="Traditional Arabic" w:cs="Traditional Arabic"/>
        <w:color w:val="0000CC"/>
        <w:sz w:val="28"/>
        <w:szCs w:val="28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F92"/>
    <w:multiLevelType w:val="multilevel"/>
    <w:tmpl w:val="0C50A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1B"/>
    <w:rsid w:val="0038171B"/>
    <w:rsid w:val="00716D11"/>
    <w:rsid w:val="00D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3A14"/>
  <w15:docId w15:val="{EA2E3409-1330-4C24-A7F6-2C5B495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1"/>
      </w:numPr>
      <w:spacing w:before="100" w:after="100"/>
      <w:jc w:val="center"/>
      <w:outlineLvl w:val="1"/>
    </w:pPr>
    <w:rPr>
      <w:b/>
      <w:bCs/>
      <w:color w:val="111144"/>
      <w:sz w:val="36"/>
      <w:szCs w:val="36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numPr>
        <w:ilvl w:val="2"/>
        <w:numId w:val="1"/>
      </w:numPr>
      <w:spacing w:before="100" w:after="100"/>
      <w:jc w:val="center"/>
      <w:outlineLvl w:val="2"/>
    </w:pPr>
    <w:rPr>
      <w:b/>
      <w:bCs/>
      <w:color w:val="22225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4834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22C2-E400-405D-98B0-49EAE069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dc:description/>
  <cp:lastModifiedBy>Omid Farhangi</cp:lastModifiedBy>
  <cp:revision>2</cp:revision>
  <dcterms:created xsi:type="dcterms:W3CDTF">2022-01-31T17:00:00Z</dcterms:created>
  <dcterms:modified xsi:type="dcterms:W3CDTF">2022-01-31T17:00:00Z</dcterms:modified>
  <dc:language>en-US</dc:language>
</cp:coreProperties>
</file>