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4"/>
          <w:szCs w:val="44"/>
        </w:rPr>
      </w:pPr>
      <w:r>
        <w:rPr>
          <w:rFonts w:eastAsia="Arial Unicode MS"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b/>
          <w:bCs/>
          <w:color w:val="0000CC"/>
          <w:sz w:val="44"/>
          <w:szCs w:val="44"/>
          <w:rtl w:val="true"/>
        </w:rPr>
        <w:t xml:space="preserve">                        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هُوَ اللهُ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مْنَعُ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قْدَسُ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بْهَى</w:t>
      </w:r>
    </w:p>
    <w:p>
      <w:pPr>
        <w:pStyle w:val="PlainText"/>
        <w:bidi w:val="1"/>
        <w:ind w:left="0" w:right="0" w:hanging="0"/>
        <w:jc w:val="both"/>
        <w:rPr>
          <w:rFonts w:eastAsia="Arial Unicode MS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4"/>
          <w:szCs w:val="44"/>
          <w:lang w:bidi="ar-JO"/>
        </w:rPr>
      </w:pP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فسبحان الّذي نزّل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يات بالحقّ من جبروت عزّ علي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 وينطق بالحقّ في ملكوته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على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بلسانه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بدع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حلى لعلّ النّاس يتّخذن إلى جهة الر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وح تلقاء عرش رب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هم الر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حمن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بالحق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سبيلا قل يا قوم ات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قوا الله ولا تت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بعوا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نفسكم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ارتقبوا فضل الله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فضله كان عليكم محيطا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ستشرقت عليكم شمس الكلمات عن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فق مليك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سماء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الص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فات إذًا لا تستكبروا ثمّ اسجدوا لجمال رب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كم الّذي كان في جبروت البقا باسم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البهاء وف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ملكوت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نشاء بالعل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ّ مذكورا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يا قوم لا تكفروا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يات الله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بعد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نزالها ولا تت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خذوا الش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يطان 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نفسكم وليّا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اكم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لا تضطربوا حين الّذي تضطرب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فيه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شياء وتنفطر فيه 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ماء وتنشق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رض 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فلى وتندك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الجبال وتتمو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ج البحار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تضع كلّ ذات حمل حملها ويأخذ 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كر سك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ان السّموات والأرض وكذلك نزّ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الأمر بالحق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من قلم القدس وكان الله على ما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قول شهيدا ضعوا ما يح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جبكم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عن الله ثمّ اصعدوا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بجناحين الت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قديس إلى هذا 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ماء الّتي قد ارتفعت بالحقّ وكانت على اسم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بهى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رّ مرفوعا قل تالله قد هبّت نسايم الفضل عن مشرق العدل وبها حملت كلّ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شياء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أنتم بذلك خبيرا وسوف يضع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مكان حمله إذًا تشهد المشركين يفرّون من اليمين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الش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مال ولن يجدنّ 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نفسهم مقرّا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مينا وكذلك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نبئناك من نب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الأمر لتطّلع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سرار الّتي كانت خلف سرادق العزّ مقنوعا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قل يا قوم خذوا كأس الحمرا من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نامل البها ثمّ انقطعوا عن كل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في الأرض والس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ا وإ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 استطعتم في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نفسكم فاركبوا باسم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على على الفلك الحمرا وسيروا على بحر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الكبريا لتصلن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إلى مقعد الّذي كان عن رم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المشركين محفوظا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اسمعوا يا قوم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نداء الله من كلّ الجهات ولا تلتفتوا إلى الّذينهم كفروا بال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آمنوا به وكانوا عن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سبل الحق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بعيدا ومن المشركين من كان مجاهدا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مواله ونفسه 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علاء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 فلمّا ظهر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عليه جمال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إذًا كفر به وكان على عقبيه منقلبا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نّك أنت يا عبد ولو ما حضر منك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كتاب بين يد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العرش ولكن لم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 ذكر اسمك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نزلنا إليك ما تقرّ به عيناك وعيون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ذينهم آمنوا بالله وكانوا على صراط العزّ مستقيما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استقم في نفسك لئلّا يزلّك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ء عن الص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راط ثمّ اشكر ربّك بما نزّل عليك لوح عزّ بديعا كذلك منن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 عليك من بدايع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فضلنا وأرسلنا إليك ما تجد به روايح ربّك وتت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خذ في ظل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عصمة ربّك مقاما كان على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الحق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مينا ومن النّاس من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عرض على الله جهرة وإذا تتلى عليه آيات الله يسودّ وجهه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ينقلب إلى الله مبغوضا ومنهم من قال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ها ما نزّلت على الفطرة قل تالله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الفطرة قد خلقت بحرف منها ويشهد بذلك ما يجر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من قلم قدس بديعا ومنهم من افترى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على الله وقال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هذا إلّا ساحر يسحر النّاس وبما خرج من فمه حبطت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عماله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نكر الن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بيي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والمرسلين وكان في دين الله بغيا قل يا قوم خافوا عن الله ولا تقولوا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ما قاله المشركون حين الّذي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شرقت شمس القدم عن مشرق الحجاز بسلطان مبينا وكذلك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قالوا المشركون في زمن كلّ نب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إلى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 انتهت الأيّام إلى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أيّام الله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شرق جمال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القدم عن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فق اسم علي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نّك أنت يا عبد قدّس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ذن القدس عن كلمات المشركين ثم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ادخل في غمرات هذا البحر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ذن ربّك الر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حمن لتجد لئال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حكمة ثمينا قل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خذنا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قبضة من الت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راب وعجن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اه بمياه الأمر من لدن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 ونفخنا فيه روحا من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مرنا ثمّ زي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ناه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سمائنا الحسنى في ملكوت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نشا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رفعناه إلى مقام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الّذي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اشتهر اسمه بين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كلّ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صغير وكبيرا  فلمّا بلغ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شدّه واطمئن في نفسه إذا استكبر على نفس الله وسلطانه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لى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 حارب معه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جه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رة وكذلك كان حكم القضا على جمال ربّك العل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ّ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على من اصبع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الله مقضي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 قل يا قوم ات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قوا الله ولا تفر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طوا في جنب الله تالله هذا من نب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به قرّت عيون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هل ملأ البقا وكان خلف حجبات الن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ور بعصمة الله محفوظا فلمّا تم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الميقات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شرق عن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فق القدس ببرهان الّذي كان على العالمين محيطا وأنت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م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 تنكروا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بهذا البرهان فبأيّ برهان يثبت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يمانكم لا فوال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شرقت السّموات بنور وجهه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ذًا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لن تجدنّ 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نفسكم إلى الحق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دليلا قل يا قوم إذا دخل عليكم رسول الله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ثره قوموا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عن مقاعدكم وخذوه 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نامل الت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سليم ثمّ استنشقوه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ن وجدتم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منه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رايحة الله محبوبكم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ذًا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لا تنكروا كذلك نزّل الأمر من جبروت القدس تنزيلا من لدن عزيز قديرا ويا قوم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بعوا ملّة الله ودينه ولا ترتكبوا ما نهيتم عنه في الكتاب ات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قوا الله وكونوا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على الأمر مستقيما فسوف يدعون المشركون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حدا من هناك ويدخلون في قلبه بغض الله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مظهر نفسه ويرسلونه إلى الد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يار و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ليكم ومعه ما يقل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ب النّاس عن صراط عزّ منيرا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فطوبى لمن لن يتحر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ك من اهتزاز الش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رك ويكون مستقيما على أمر مولاه تالله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ه لخير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عند ربّك عن خلق بين السّموات والأرض جميعا ذلك من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نب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اء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الغيب نوحيها إليك فضلا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من لدن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 عليك وعلى كلّ موقن بصيرا والبهاء عليك وعلى الّذين آووا في ظل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هذه الس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درة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 ارتفعت بالحقّ وكانت في قطب الر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4"/>
          <w:sz w:val="44"/>
          <w:szCs w:val="44"/>
          <w:rtl w:val="true"/>
        </w:rPr>
        <w:t xml:space="preserve">ضوان بيد الله على الفضل مغروسا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4"/>
          <w:szCs w:val="44"/>
          <w:lang w:bidi="ar-JO"/>
        </w:rPr>
      </w:pPr>
      <w:r>
        <w:rPr>
          <w:rFonts w:eastAsia="Arial Unicode MS" w:cs="Traditional Arabic" w:ascii="Traditional Arabic" w:hAnsi="Traditional Arabic"/>
          <w:sz w:val="44"/>
          <w:szCs w:val="44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التقي – آثار حضرة بهاءالله – آثار قلم اعلى، ج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بديع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