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Call thou to mind that which hath been revealed unto Mihdi, Our servant, in the first year of Our banishment to the Land of Mystery (Adrianople). Unto him have We predicted that which must befall Our House (Baghdad House), in the days to come, lest he grieve over the acts of robbery and violence already perpetrated against it.  Verily, the Lord, thy God, knoweth all that is in the heavens and all that is on the earth. </w:t>
      </w:r>
    </w:p>
    <w:p>
      <w:pPr>
        <w:pStyle w:val="Normal"/>
        <w:jc w:val="both"/>
        <w:rPr>
          <w:sz w:val="32"/>
          <w:szCs w:val="32"/>
        </w:rPr>
      </w:pPr>
      <w:r>
        <w:rPr>
          <w:sz w:val="32"/>
          <w:szCs w:val="32"/>
        </w:rPr>
      </w:r>
    </w:p>
    <w:p>
      <w:pPr>
        <w:pStyle w:val="Normal"/>
        <w:jc w:val="both"/>
        <w:rPr>
          <w:sz w:val="32"/>
          <w:szCs w:val="32"/>
        </w:rPr>
      </w:pPr>
      <w:r>
        <w:rPr>
          <w:sz w:val="32"/>
          <w:szCs w:val="32"/>
        </w:rPr>
        <w:t>To him We have written:  This is not the first humiliation inflicted upon My House.  In days gone by the hand of the oppressor hath heaped indignities upon it.  Verily, it shall be so abased in the days to come as to cause tears to flow from every discerning eye.  Thus have We unfolded to thee things hidden beyond the veil, inscrutable to all save God, the Almighty, the All-Praised.  In the fullness of time, the Lord shall, by the power of truth, exalt it in the eyes of all men.  He shall cause it to become the Standard of His Kingdom, the Shrine round which will circle the concourse of the faithful.  Thus hath spoken the Lord, thy God, ere the day of lamentation arriveth. This revelation have We given thee in Our holy Tablet, lest thou sorrow for what hath befallen Our House through the assaults of the enemy.  All praise be to God, the All-Knowing, the All-Wise.</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Lawh-i-Zaynul-Mugarrabin (2), Baha’u’llah, </w:t>
    </w:r>
    <w:r>
      <w:rPr>
        <w:color w:val="0000CC"/>
      </w:rPr>
      <w:t xml:space="preserve">Gleanings, No. 58, pages: 114 – 115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