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وأمّا ما سئلت من الأرواح واطّلاع بعضها علی بعض بعد صعودها فاعلم 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أهل البهآء الّذين استقرّوا علی السّفينة الحمرآء أولئک يعاشرون ويؤانسون ويجالسون ويطيرون ويقصدون ويصعدون کأنّهم نفس واحدة ألا إنّهم هم المط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لعون وهم النّاظرون وهم العارفون کذلک قضی الأمر من لدن عليم حکيم  اهل بها که در سفينه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الهيّه ساکنند کلّ از احوال يکديگر مطلع و با هم مأنوس و مصاحب و معاشر اين مقام منوط بايقان و اعمال نفوس است نفوسی که در يک درجه واقفند مطّلعند از کميّات و کيفيّات و درائج و مقامات يکديگر و نفوسی که در تحت اين نفوس واقعند کما هو حقّه بر مراتب و مقامات نفوس عاليه از خود اطّلاع نيابند لکلّ نصيب عند ربّک طوبی لنفس توجّه الی اللّه و استقام فی حبّه الی ان طار روحه اِلی اللّه الملک المقتدر الغفور الرّحيم و امّا ارواح کفّار لعمری حين الاحتضار يعرفون مافات عنهم و ينوحون و يتضرّعون و کذلک بعد خروج ارواحهم من ابدانهم اين بسی معلوم و واضح است که کلّ بعد از موت مطّلع بافعال و اعمال خود خواهند شد قسم بآفتاب افق اقتدار که اهل حق را در آن حين فرحی دست دهد که ذکر آن ممکن نه و همچنين اصحاب ضلال را خوف و اضطراب و وحشتی رو نمايد که فوق آن متصوّر نه نيکوست حال نفسی که رحيق لطيف باقی ايمان را از يد عنايت و الطاف مالک اديان گرفت و آشاميد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...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اليوم بايد احبّای الهی ناظر بظهور و ما يظهر منه باشند بعضی روايات قبليّه اصلی نداشته و ندارد و آنچه هم ملل قبل ادراک کرده‌اند و در کتب ذکر نموده‌اند اکثر آن بهوای نفس بوده چنانچه مشاهده نموده‌ايد که آنچه در دست ناس موجود است از معانی و تأويلات کلمات الهيّه اکثری بغير حق بوده چنانچه بعد از خرق حجاب بعضی معلوم و واضح شد و تصديق نمودند که کلمه از کلمات الهيّه را ادراک ننموده بودند مقصود آنکه اگر احبّای الهی قلب و سمع را از آنچه از قبل شنيده‌اند طاهر نمايند و بتمام توجّه بمطلع امر و ما ظهر من عنده ناظر شوند عند اللّه احبّ بوده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...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أحمد وکن من الشّاکرين کبّر من قبلي أحبّائي الّذين اختصّهم اللّه لحبّه وجعلهم من الفائزين والحمد للّه ربّ العالمين 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>لوح ز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>ی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>ن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 xml:space="preserve"> المقرب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>ی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>ن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 xml:space="preserve"> </w:t>
    </w:r>
    <w:r>
      <w:rPr>
        <w:rFonts w:cs="Traditional Arabic" w:ascii="Traditional Arabic" w:hAnsi="Traditional Arabic"/>
        <w:b/>
        <w:bCs/>
        <w:color w:val="171AA9"/>
        <w:sz w:val="28"/>
        <w:szCs w:val="28"/>
        <w:rtl w:val="true"/>
      </w:rPr>
      <w:t>(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</w:rPr>
      <w:t>٣</w:t>
    </w:r>
    <w:r>
      <w:rPr>
        <w:rFonts w:cs="Traditional Arabic" w:ascii="Traditional Arabic" w:hAnsi="Traditional Arabic"/>
        <w:b/>
        <w:bCs/>
        <w:color w:val="171AA9"/>
        <w:sz w:val="28"/>
        <w:szCs w:val="28"/>
        <w:rtl w:val="true"/>
      </w:rPr>
      <w:t xml:space="preserve">)  – 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 xml:space="preserve">منتخباتى از آثار حضرت بهاءالله، 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</w:rPr>
      <w:t>١٦٣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 xml:space="preserve"> بديع، رقم 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</w:rPr>
      <w:t>٨٦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  <w:rtl w:val="true"/>
      </w:rPr>
      <w:t xml:space="preserve">، صفحه </w:t>
    </w:r>
    <w:r>
      <w:rPr>
        <w:rFonts w:ascii="Traditional Arabic" w:hAnsi="Traditional Arabic" w:cs="Traditional Arabic"/>
        <w:b/>
        <w:b/>
        <w:bCs/>
        <w:color w:val="171AA9"/>
        <w:sz w:val="28"/>
        <w:sz w:val="28"/>
        <w:szCs w:val="28"/>
      </w:rPr>
      <w:t>٦٧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