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bookmarkStart w:id="0" w:name="gwb_en-15-p1"/>
    </w:p>
    <w:p>
      <w:pPr>
        <w:pStyle w:val="Normal"/>
        <w:jc w:val="left"/>
        <w:rPr>
          <w:sz w:val="32"/>
          <w:szCs w:val="32"/>
        </w:rPr>
      </w:pPr>
      <w:bookmarkStart w:id="1" w:name="gwb_en-49-p1"/>
      <w:bookmarkEnd w:id="0"/>
      <w:bookmarkEnd w:id="1"/>
      <w:r>
        <w:rPr>
          <w:sz w:val="32"/>
          <w:szCs w:val="32"/>
        </w:rPr>
        <w:t>Know verily that whenever this Youth turneth His eyes towards His own self, he findeth it the most insignificant of all creation. When He contemplates, however, the bright effulgences He hath been empowered to manifest, lo, that self is transfigured before Him into a sovereign Potency permeating the essence of all things visible and invisible. Glory be to Him Who, through the power of truth, hath sent down the Manifestation of His own Self and entrusted Him with His message unto all mankind.</w:t>
      </w:r>
    </w:p>
    <w:p>
      <w:pPr>
        <w:pStyle w:val="Normal"/>
        <w:jc w:val="left"/>
        <w:rPr>
          <w:sz w:val="32"/>
          <w:szCs w:val="32"/>
          <w:lang w:bidi="ar-JO"/>
        </w:rPr>
      </w:pPr>
      <w:r>
        <w:rPr>
          <w:sz w:val="32"/>
          <w:szCs w:val="32"/>
          <w:lang w:bidi="ar-JO"/>
        </w:rPr>
      </w:r>
      <w:bookmarkStart w:id="2" w:name="gwb_en-49-p1"/>
      <w:bookmarkStart w:id="3" w:name="gwb_en-49-p1"/>
      <w:bookmarkEnd w:id="3"/>
    </w:p>
    <w:p>
      <w:pPr>
        <w:pStyle w:val="Normal"/>
        <w:jc w:val="left"/>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rFonts w:cs="Tahoma" w:ascii="Tahoma" w:hAnsi="Tahoma"/>
        <w:color w:val="0000CC"/>
        <w:sz w:val="21"/>
        <w:szCs w:val="21"/>
      </w:rPr>
      <w:t>Suriy-i-Dhabih (5)</w:t>
    </w:r>
    <w:r>
      <w:rPr>
        <w:color w:val="0000CC"/>
      </w:rPr>
      <w:t xml:space="preserve">, Gleanings From The Writings of Baha’u’llah, No. 49, page 102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