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  <w:lang w:bidi="ar-JO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هو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منع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قدس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بهى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Cs w:val="48"/>
        </w:rPr>
      </w:pPr>
      <w:r>
        <w:rPr>
          <w:rFonts w:eastAsia="Arial Unicode MS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جمال الرّحمن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 الرّضوان خلف سحاب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حزان قد كان بالحقّ مشروقًا وان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يرفع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حاب يظهر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ضطراب في كلّ نفس بحيث ينفض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لعباد عن مالك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يجاد لذا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اتّخذ لوجهه الحجاب ليستشرق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نوار على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برار على قدر مقدورًا وهذا شأن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برار من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خيار فكيف الّذينهم كفروا بربّهم المختار واتّخذوا العجل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نفسهم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دون اللّه محبوبًا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نّا لمّا وجد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 صم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اء عمياء تركناهم في تيه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الوهم والهوى وخرجنا عن بينهم بسلطان الّذي كان على العالمين مشهورًا وجلسنا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البيت وحد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منقطعًا عن كلّ الوجوه ومرتقبًا فضل الّذي كان في أمر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لواح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نامل للّه مرقومًا فلمّا احتجب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اس نفسهم في سبحات الجلال منعت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نوار الجمال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عينهم وات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خذ سلطان القدم لنفسه مقامًا كان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بصر العالمين مستورًا وعن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ورآء هذا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تر ستر ما اط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لع به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حد إلّا نفس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وكذالك كان الأمر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الكتاب من ستر الوح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بالعدل مذكورًا فسوف يص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الموحّدون ويضعن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نامل الح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بين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نياب ولن يجدّن الغلام ولو يتفحّصن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قطار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موات والأرض وكذالك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كان الحكم من لدى البها على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لوح القضا بال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مقضي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ذالك من نب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الغيب توحيد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ليك وإلى الّذينهم آمنوا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ليعرفن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قدر تلك الأيّام ويتّ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خ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إلى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الرّوح دليلاً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يا قوم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اغتنموا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قدر تلك الأيّام ولا تحرموا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نفسكم من هذا الفضل الّذي كان على هيكل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نسان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مبعوثًا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 اسم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 اسمع ندآء ربّك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بهى عن منظر الكبرى مقرّ اللّه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ليجذبك نغمات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حلى إلى سدرة المنتهى مقام الّذي استشرقت فيه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شمس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قا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فق الكبريا وجعله اللّه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مسرّ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المشركين منزوهًا دع ما سوائ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ورائك ثمّ ادخل بقعة القدس بقلبك ليمرّ عليك رسلات السّبحان عن مصر الرّحمن وتهتزّك باهتزار يهتزّ به العالمين مجموعًا شوقًا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لقاء اللّه وطلبًا لمرضاته وكذالك فصّلنا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 في هذا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وح الّذي كان بلحظات اللّه ملحوظًا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لِف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استقم على الأمر ثمّ ادع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 إلى شطر ربّك ولا تدعهم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نفسهم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 الشيّطان قد قعد على كلّ مرصد ليضل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 عن شاط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الّذي كان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زل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زال مبروكًا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اتّبع ما يُوْحَى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ليك ثمّ احفظ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غنام عن الذّياب ثمّ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اجتمعهم في فجوة من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من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فلك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 الّذي كان على كلّ 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محيطًا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رفعنا راية البرهان باسم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الرّحمن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ظهرنا الحج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ة بش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يعجز عنها كلّ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موات والأرض من كلّ وضيع وشريف قل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برهان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وسلطان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قدرت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ودليل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ظهور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وحج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قيام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بين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موات والأرض وما ينزل من قلم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هو خلق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أنتم به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عليمًا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 إسم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عظم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نا جعلناك ملكوت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سمائنا بين الأرض والسّما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ذًا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فاظهر ما تشاء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سمائنا الحسن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لتهدين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 إلى هذا الجمال الّذي جائهم على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غمام الأمر بسلطان مبينًا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نِ انطق اللّسان بالبيان في ذكر ربّك الم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نّ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ان ولا تخف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حد وتوكلّ في كلّ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مور على اللّه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نّه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رك بجنود الغيب والش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ة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يحرسك عن كلّ مشرك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ثيمًا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أن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لا تنسى حين الّذ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كنت حاضرًا بين يد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العرش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شرقت عليك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فق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 ربّك شمس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الكلمات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 الّت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جعلها اللّه بي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مره في ملكوت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الإنشاء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وضياء وجهه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لمن في الملك جميعًا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استمع ما يقولون المشركون تاللّه ما يخرج من فمهم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يلعنهم وهم لا يستشعرن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نفسهم ويكونن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في غمرات 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رك 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غ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روقًا يَدَّعُونَ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يمان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نفسهم ويكفرون بال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بحرف من عنده ظهر حكم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يمان في كلّ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زمان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كذالك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خذ اللّه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بصارهم وجعلهم عن شا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طئ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الفضل محرومًا وكانوا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أن يحاربوا في سبيل الله بأموالهم وأنفسهم فلمّا جآئهم ما عرفوا كفروا به وكانوا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عقابهم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منقلبًا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ذًا يكذّبهم كلّ الذ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ات ويتبرّء منهم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عمالهم كذالك يدحض اللّه عمل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الذّينهم كفروا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شركوا وكانوا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لدى عقبة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إعراض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بالظ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لم موقوفًا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نِ استقم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الأمر ثمّ اسقِ العباد رحيق الحيوان من 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س ربّك الرّحمن قبل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يرتفع نعيق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يطان وي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دّ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اس عن سبيل قدس مشهودًا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 الّذين يتكلّمون بمثل 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بيان قد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قاموا على اللّه ومظهر نفسه وكف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رو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بنعمته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كانت عن جهة الجود مرسولاً فسوف تنشر بين يديك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لواح وفيها حرّكت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نامل الجهل والش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رك على ردّ اللّه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كذالك كان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نسان على ربّ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كفورًا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نّك لمّا شهدت وعرفت خذ قلم الأمر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من عندنا ثمّ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نزل على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ألوا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 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لقى اللّه على قلبك في رَدِّ مَن رَدَّ على اللّه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تاللّه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ذا يؤيدّك روح القدس وينطق في صدرك روح الّذي كان في كنائز العِصمة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بحفظ اللّه محفوظًا كَسِّر شوكة الت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قليد بقوّة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التّوحيد ثمّ اصعد بجناحين الانقطاع لأسماء عزّ عليًّا ثمّ زيّن نفسك بالعبوديّة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الصّرفة للّه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 به يثبت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آية الت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وحيد وتنعدم راية 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رك من كلّ مُنكر بغي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ًّا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قل اللّه ثمّ ذر الذّينهم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كفروا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شركوا وكانوا بحجبات 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رك محجوبًا قل قد ظهرت كلمة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الفصل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وبها فصل بين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برار وال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شرار وبها يجعل بين العاليمن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مفصولاً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نّ اللّه قد جعل الكلمة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السّيوف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 من السّيف يفصل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بين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ركان وال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جساد ومن الكلمة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يفصل بين كلّ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شياء من يومئذ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يوم الّذي فيه تشق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ستر الممكنات وي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على غمام الحمرا جمال عزّ موعودًا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نّها لماء الحيوان يحي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اللّه بها الخلايق مجموعًا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نّها لسراج اللّه بين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موات والأرض ويستض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منها كلّ قلب طاهر منيرًا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نّها المر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ءا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عظم بين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بري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ّته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ومنها يعرف جمال القِدم على قدر مقدورًا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نّها لثقل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كبر ما بين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موات والأرض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حجّة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الله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الباقية لمن في ملكوت الأمر والخلق وبها يت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ضوّع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رايحة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الله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بين كلّ صغير وكبيرًا ومن لم يستطع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يحضر بين يد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العرش وينظر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جمال اللّه قل فلينظر إلى كلمة اللّه تاللّه بها تقر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العيون وت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 قلوب كلّ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عبد مريدًا قل يا قوم لا تقاسوا كلمة اللّه بكلمات دونه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خلق دونها ولا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يعقل ذالك إلّا كلّ عاقل خبيرًا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اخرج عن خلف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حجاب ثمّ اظهر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الّذ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كان على العالمين محيطًا ذك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اس بما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ذكرناك ثمّ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لهمهم ما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لهمناك ليت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خذن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لى شطر القدس سبيلاً ثمّ اعلم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حضر بين يد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العرش كتابك وارتد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لحظات القدس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نوار حبّ لميعًا ليهتزّك عن رقد السّكون وتشتعل من نار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كانت في سدرة الكلمات على طور المعا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ني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ذن اللّه موقودًا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اشتعل بحرارة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حبّ ربّك ثمّ اشتعل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 بنار الذ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كر من هذه الكلمة التّ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شرقت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 اللّوح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بسلطان عظيمًا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احفظ قوايم الأمر من زبر البيان لئلّا ينقضها جنود الشّيطان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هذا من أمر الّذي كان من سماء الحكم بالحقّ منزولاً ثمّ اعلم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نّا وجدنا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كتابك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رايحة القميص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رسلنا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ليك نفحات الرّحمن من شطر هذا الرّضوان لتجذبك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رايحة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بحان إلى سماء عزّ منيعًا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عطيناك في هذا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وح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جنحة القوّة والإقتدار لتطير بها إلى مقام الّذي تشهد الممكنات في ظلّك كذالك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يّدناك بين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عبادنا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رفعناك إلى منظر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مقرّ قدس بديعا وكنّا معك في كلّ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حيان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شهدنا ما ورد عليك في سبل ربّك وكنّا عليك شهيدًا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ذكرنا ما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ورد عليك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لواح وما وصل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ليك بحكمة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كانت في علم ربّك مكنونًا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لا تحزن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فيما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مسّتك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آء فسوف يقطع اللّه دابر الّذينهم ظلموك من دون بَيِّنَةٍ ولا كتاب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منيرًا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اصبر ثمّ اصطبر إلى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يأت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الوعد من لدن مقتدر قديرًا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ذا اشتد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عليك البلا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اذكر مصائب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وما ورد على 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كلّ الملل وعن ورآئها عباد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الّذين هم خلقوا بقول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وكان نفس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على 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قول شهيدًا كذالك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لقيناك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جواهر الحكمة والبيان لتجتمع عباد الرّحمن وتحفظهم بقوّة من عندنا عن رم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مشرك شقيًّا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وَالبَهَاءُ عَلَيْكَ وَعَلَى مَنْ مَعَكَ </w:t>
      </w: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مِنَ الَّذِيْنَهُم 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خَذُوا فِي ظِلِّ </w:t>
      </w: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رَبِّكَ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مَقَامًا كَانَ </w:t>
      </w: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عَنِ الشِّرْكِ </w:t>
      </w: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Arial Unicode MS" w:cs="Traditional Arabic"/>
          <w:color w:val="FF0000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مَطْهُورًا  </w:t>
      </w: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 xml:space="preserve">* 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Arial Unicode MS" w:cs="Traditional Arabic"/>
          <w:color w:val="FF0000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 xml:space="preserve">* </w:t>
      </w:r>
    </w:p>
    <w:p>
      <w:pPr>
        <w:pStyle w:val="PlainText"/>
        <w:bidi w:val="1"/>
        <w:ind w:left="0" w:right="0" w:firstLine="720"/>
        <w:jc w:val="center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  <w:t xml:space="preserve">*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سورة الزبر  – من آثار حضرة بهاءالله – مجموعة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١٠٠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مجلد، رقم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٨٣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الصفحات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١٣٢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١٣٦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