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تُقرأ مرّة كل أربع وعشرين ساعة، حين الزوال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spacing w:lineRule="auto" w:line="360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أَشْهَدُ يَا إِلَهِي بِأَنَّكَ خَلَقْتَنِيْ لِعِرْفَانِكَ وَعِبَادَتِكَ أَشْهَدُ فِيْ هَذَا الحِيْنِ بِعَجْزِيْ وَقُوَّتِكَ وَضَعْفِيْ وَإِقْتِدَارِكَ وَفَقْرِيْ وَغَنَائِكَ لَا إِلَهَ إِلَّا أَنْتَ المُهَيْمِنُ القَيُّوْمُ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>الصلاة الصغرى  – حضرة بهاءالله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ملحقات الكتاب الاقدس، 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١٢١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