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Simplified Arabic" w:hAnsi="Simplified Arabic" w:cs="Simplified Arabic"/>
          <w:sz w:val="48"/>
          <w:szCs w:val="48"/>
        </w:rPr>
      </w:pPr>
      <w:r>
        <w:rPr>
          <w:rFonts w:ascii="Simplified Arabic" w:hAnsi="Simplified Arabic" w:cs="Simplified Arabic"/>
          <w:spacing w:val="-6"/>
          <w:sz w:val="48"/>
          <w:sz w:val="48"/>
          <w:szCs w:val="48"/>
          <w:rtl w:val="true"/>
        </w:rPr>
        <w:t>يا ملك النّمسة كان مطلع نور الأحديّة في سجن عك</w:t>
      </w:r>
      <w:r>
        <w:rPr>
          <w:rFonts w:ascii="Simplified Arabic" w:hAnsi="Simplified Arabic" w:cs="Simplified Arabic"/>
          <w:spacing w:val="-6"/>
          <w:sz w:val="48"/>
          <w:sz w:val="48"/>
          <w:szCs w:val="48"/>
          <w:rtl w:val="true"/>
          <w:lang w:bidi="ar-JO"/>
        </w:rPr>
        <w:t>ّ</w:t>
      </w:r>
      <w:r>
        <w:rPr>
          <w:rFonts w:ascii="Simplified Arabic" w:hAnsi="Simplified Arabic" w:cs="Simplified Arabic"/>
          <w:spacing w:val="-6"/>
          <w:sz w:val="48"/>
          <w:sz w:val="48"/>
          <w:szCs w:val="48"/>
          <w:rtl w:val="true"/>
        </w:rPr>
        <w:t>آء إذ قصدت المسجد الأقصى مررت وما سئلت عنه بعد إذ رفع به كلّ بيت وفتح كلّ باب منيف</w:t>
      </w:r>
      <w:r>
        <w:rPr>
          <w:rFonts w:ascii="Wingdings 2" w:hAnsi="Wingdings 2" w:eastAsia="Wingdings 2" w:cs="Wingdings 2"/>
          <w:spacing w:val="-6"/>
          <w:sz w:val="48"/>
          <w:sz w:val="48"/>
          <w:szCs w:val="48"/>
        </w:rPr>
        <w:t></w:t>
      </w:r>
      <w:r>
        <w:rPr>
          <w:rFonts w:ascii="Simplified Arabic" w:hAnsi="Simplified Arabic" w:cs="Simplified Arabic"/>
          <w:spacing w:val="-6"/>
          <w:sz w:val="48"/>
          <w:sz w:val="48"/>
          <w:szCs w:val="48"/>
          <w:rtl w:val="true"/>
        </w:rPr>
        <w:t xml:space="preserve"> قد جعلناه مقبل العالم لذكري وأنت نبذت المذكور إذ ظهر بملكوت الله ربّك ورب</w:t>
      </w:r>
      <w:r>
        <w:rPr>
          <w:rFonts w:ascii="Simplified Arabic" w:hAnsi="Simplified Arabic" w:cs="Simplified Arabic"/>
          <w:spacing w:val="-6"/>
          <w:sz w:val="48"/>
          <w:sz w:val="48"/>
          <w:szCs w:val="48"/>
          <w:rtl w:val="true"/>
          <w:lang w:bidi="ar-JO"/>
        </w:rPr>
        <w:t>ّ</w:t>
      </w:r>
      <w:r>
        <w:rPr>
          <w:rFonts w:ascii="Simplified Arabic" w:hAnsi="Simplified Arabic" w:cs="Simplified Arabic"/>
          <w:spacing w:val="-6"/>
          <w:sz w:val="48"/>
          <w:sz w:val="48"/>
          <w:szCs w:val="48"/>
          <w:rtl w:val="true"/>
        </w:rPr>
        <w:t xml:space="preserve"> العالمين</w:t>
      </w:r>
      <w:r>
        <w:rPr>
          <w:rFonts w:ascii="Wingdings 2" w:hAnsi="Wingdings 2" w:eastAsia="Wingdings 2" w:cs="Wingdings 2"/>
          <w:spacing w:val="-6"/>
          <w:sz w:val="48"/>
          <w:sz w:val="48"/>
          <w:szCs w:val="48"/>
        </w:rPr>
        <w:t></w:t>
      </w:r>
      <w:r>
        <w:rPr>
          <w:rFonts w:ascii="Simplified Arabic" w:hAnsi="Simplified Arabic" w:cs="Simplified Arabic"/>
          <w:spacing w:val="-6"/>
          <w:sz w:val="48"/>
          <w:sz w:val="48"/>
          <w:szCs w:val="48"/>
          <w:rtl w:val="true"/>
        </w:rPr>
        <w:t xml:space="preserve"> كنّا معك في كلّ الأحوال ووجدناك متمسّكا بالفرع غافلا</w:t>
      </w:r>
      <w:r>
        <w:rPr>
          <w:rFonts w:ascii="Simplified Arabic" w:hAnsi="Simplified Arabic" w:cs="Simplified Arabic"/>
          <w:spacing w:val="-6"/>
          <w:sz w:val="48"/>
          <w:sz w:val="48"/>
          <w:szCs w:val="48"/>
          <w:rtl w:val="true"/>
        </w:rPr>
        <w:t>ً</w:t>
      </w:r>
      <w:r>
        <w:rPr>
          <w:rFonts w:ascii="Simplified Arabic" w:hAnsi="Simplified Arabic" w:cs="Simplified Arabic"/>
          <w:spacing w:val="-6"/>
          <w:sz w:val="48"/>
          <w:sz w:val="48"/>
          <w:szCs w:val="48"/>
          <w:rtl w:val="true"/>
        </w:rPr>
        <w:t xml:space="preserve"> عن الأصل إنّ ربّك على ما أقول شهيد</w:t>
      </w:r>
      <w:r>
        <w:rPr>
          <w:rFonts w:ascii="Wingdings 2" w:hAnsi="Wingdings 2" w:eastAsia="Wingdings 2" w:cs="Wingdings 2"/>
          <w:spacing w:val="-6"/>
          <w:sz w:val="48"/>
          <w:sz w:val="48"/>
          <w:szCs w:val="48"/>
        </w:rPr>
        <w:t></w:t>
      </w:r>
      <w:r>
        <w:rPr>
          <w:rFonts w:ascii="Simplified Arabic" w:hAnsi="Simplified Arabic" w:cs="Simplified Arabic"/>
          <w:spacing w:val="-6"/>
          <w:sz w:val="48"/>
          <w:sz w:val="48"/>
          <w:szCs w:val="48"/>
          <w:rtl w:val="true"/>
        </w:rPr>
        <w:t xml:space="preserve"> قد أخذتنا الأحزان بما رأيناك تدور لاسمنا ولا تعرفنا أمام وجهك افتح البصر لتنظر هذ</w:t>
      </w:r>
      <w:r>
        <w:rPr>
          <w:rFonts w:ascii="Simplified Arabic" w:hAnsi="Simplified Arabic" w:cs="Simplified Arabic"/>
          <w:spacing w:val="-6"/>
          <w:sz w:val="48"/>
          <w:sz w:val="48"/>
          <w:szCs w:val="48"/>
          <w:rtl w:val="true"/>
          <w:lang w:bidi="ar-JO"/>
        </w:rPr>
        <w:t xml:space="preserve">ا </w:t>
      </w:r>
      <w:r>
        <w:rPr>
          <w:rFonts w:ascii="Simplified Arabic" w:hAnsi="Simplified Arabic" w:cs="Simplified Arabic"/>
          <w:spacing w:val="-6"/>
          <w:sz w:val="48"/>
          <w:sz w:val="48"/>
          <w:szCs w:val="48"/>
          <w:rtl w:val="true"/>
        </w:rPr>
        <w:t>المنظر الكريم</w:t>
      </w:r>
      <w:r>
        <w:rPr>
          <w:rFonts w:ascii="Wingdings 2" w:hAnsi="Wingdings 2" w:eastAsia="Wingdings 2" w:cs="Wingdings 2"/>
          <w:spacing w:val="-6"/>
          <w:sz w:val="48"/>
          <w:sz w:val="48"/>
          <w:szCs w:val="48"/>
        </w:rPr>
        <w:t></w:t>
      </w:r>
      <w:r>
        <w:rPr>
          <w:rFonts w:ascii="Simplified Arabic" w:hAnsi="Simplified Arabic" w:cs="Simplified Arabic"/>
          <w:spacing w:val="-6"/>
          <w:sz w:val="48"/>
          <w:sz w:val="48"/>
          <w:szCs w:val="48"/>
          <w:rtl w:val="true"/>
        </w:rPr>
        <w:t xml:space="preserve"> وتعرف</w:t>
      </w:r>
      <w:r>
        <w:rPr>
          <w:rFonts w:ascii="Simplified Arabic" w:hAnsi="Simplified Arabic" w:cs="Simplified Arabic"/>
          <w:spacing w:val="-6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pacing w:val="-6"/>
          <w:sz w:val="48"/>
          <w:sz w:val="48"/>
          <w:szCs w:val="48"/>
          <w:rtl w:val="true"/>
        </w:rPr>
        <w:t>من تدعوه في اللّيالي والأيّام وترى النّور المشرق من هذا الأفق اللّميع</w:t>
      </w:r>
      <w:r>
        <w:rPr>
          <w:rFonts w:ascii="Wingdings 2" w:hAnsi="Wingdings 2" w:eastAsia="Wingdings 2" w:cs="Wingdings 2"/>
          <w:sz w:val="48"/>
          <w:sz w:val="48"/>
          <w:szCs w:val="48"/>
        </w:rPr>
        <w:t>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Wingdings 2">
    <w:charset w:val="02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b/>
        <w:b/>
        <w:bCs/>
        <w:color w:val="0000CC"/>
        <w:sz w:val="28"/>
        <w:szCs w:val="28"/>
      </w:rPr>
    </w:pP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</w:rPr>
      <w:t xml:space="preserve">ما خوطب به فرانسوا 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</w:rPr>
      <w:t>(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</w:rPr>
      <w:t>فرانز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</w:rPr>
      <w:t xml:space="preserve">)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</w:rPr>
      <w:t xml:space="preserve">جوزيف 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</w:rPr>
      <w:t>(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</w:rPr>
      <w:t>ملك النمسا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</w:rPr>
      <w:t xml:space="preserve">) –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</w:rPr>
      <w:t xml:space="preserve">حضرة بهاءالله 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</w:rPr>
      <w:t xml:space="preserve">-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</w:rPr>
      <w:t xml:space="preserve">الكتاب الاقدس – الفقرة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</w:rPr>
      <w:t>٨٥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