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هو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fa-IR"/>
        </w:rPr>
        <w:t>شَعْرِي شِعَارِي بِهِ اسْتُرُ جمالي لئلّا تَقَع عليه عُيُون الأَغْيَار مِن عبادي كذلك نَسْتُرُ عَنِ المُشْرِكِينَ جَمَال عِزٍّ مَنِيعًا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لوح شعرات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٨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حضرة بهاءالله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محاضرات – جلد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٣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– الصفحة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٢٧٥</w:t>
    </w:r>
  </w:p>
  <w:p>
    <w:pPr>
      <w:pStyle w:val="Header"/>
      <w:rPr>
        <w:rFonts w:ascii="Arial" w:hAnsi="Arial" w:cs="Arial"/>
        <w:b/>
        <w:b/>
        <w:bCs/>
        <w:color w:val="000000"/>
        <w:sz w:val="28"/>
        <w:szCs w:val="28"/>
        <w:lang w:bidi="ar-JO"/>
      </w:rPr>
    </w:pPr>
    <w:r>
      <w:rPr>
        <w:rFonts w:cs="Arial" w:ascii="Arial" w:hAnsi="Arial"/>
        <w:b/>
        <w:bCs/>
        <w:color w:val="000000"/>
        <w:sz w:val="28"/>
        <w:szCs w:val="28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