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both"/>
        <w:rPr>
          <w:rFonts w:ascii="Traditional Arabic" w:hAnsi="Traditional Arabic" w:cs="Traditional Arabic"/>
          <w:sz w:val="48"/>
          <w:szCs w:val="48"/>
          <w:lang w:bidi="fa-IR"/>
        </w:rPr>
      </w:pPr>
      <w:r>
        <w:rPr>
          <w:rFonts w:ascii="Traditional Arabic" w:hAnsi="Traditional Arabic" w:cs="Traditional Arabic"/>
          <w:sz w:val="48"/>
          <w:sz w:val="48"/>
          <w:szCs w:val="48"/>
          <w:rtl w:val="true"/>
          <w:lang w:bidi="fa-IR"/>
        </w:rPr>
        <w:t xml:space="preserve">جناب ميرزا باقر عليه بهاء الله </w:t>
      </w:r>
    </w:p>
    <w:p>
      <w:pPr>
        <w:pStyle w:val="Normal"/>
        <w:bidi w:val="1"/>
        <w:ind w:left="0" w:right="0" w:hanging="0"/>
        <w:jc w:val="center"/>
        <w:rPr>
          <w:rFonts w:ascii="Traditional Arabic" w:hAnsi="Traditional Arabic" w:cs="Traditional Arabic"/>
          <w:b/>
          <w:b/>
          <w:bCs/>
          <w:color w:val="0000CC"/>
          <w:sz w:val="48"/>
          <w:szCs w:val="48"/>
          <w:lang w:bidi="fa-IR"/>
        </w:rPr>
      </w:pPr>
      <w:r>
        <w:rPr>
          <w:rFonts w:cs="Traditional Arabic" w:ascii="Traditional Arabic" w:hAnsi="Traditional Arabic"/>
          <w:b/>
          <w:bCs/>
          <w:color w:val="0000CC"/>
          <w:sz w:val="48"/>
          <w:szCs w:val="48"/>
          <w:rtl w:val="true"/>
          <w:lang w:bidi="fa-IR"/>
        </w:rPr>
      </w:r>
    </w:p>
    <w:p>
      <w:pPr>
        <w:pStyle w:val="Normal"/>
        <w:bidi w:val="1"/>
        <w:ind w:left="0" w:right="0" w:hanging="0"/>
        <w:jc w:val="center"/>
        <w:rPr>
          <w:rFonts w:ascii="Traditional Arabic" w:hAnsi="Traditional Arabic" w:cs="Traditional Arabic"/>
          <w:b/>
          <w:b/>
          <w:bCs/>
          <w:color w:val="0000CC"/>
          <w:sz w:val="48"/>
          <w:szCs w:val="48"/>
          <w:lang w:bidi="fa-IR"/>
        </w:rPr>
      </w:pPr>
      <w:r>
        <w:rPr>
          <w:rFonts w:ascii="Traditional Arabic" w:hAnsi="Traditional Arabic" w:cs="Traditional Arabic"/>
          <w:b/>
          <w:b/>
          <w:bCs/>
          <w:color w:val="0000CC"/>
          <w:sz w:val="48"/>
          <w:sz w:val="48"/>
          <w:szCs w:val="48"/>
          <w:rtl w:val="true"/>
          <w:lang w:bidi="fa-IR"/>
        </w:rPr>
        <w:t>بسمي العليم</w:t>
      </w:r>
    </w:p>
    <w:p>
      <w:pPr>
        <w:pStyle w:val="Normal"/>
        <w:bidi w:val="1"/>
        <w:ind w:left="0" w:right="0" w:hanging="0"/>
        <w:jc w:val="left"/>
        <w:rPr>
          <w:rFonts w:ascii="Traditional Arabic" w:hAnsi="Traditional Arabic" w:cs="Traditional Arabic"/>
          <w:b/>
          <w:b/>
          <w:bCs/>
          <w:color w:val="0000CC"/>
          <w:sz w:val="48"/>
          <w:szCs w:val="48"/>
          <w:lang w:bidi="fa-IR"/>
        </w:rPr>
      </w:pPr>
      <w:r>
        <w:rPr>
          <w:rFonts w:cs="Traditional Arabic" w:ascii="Traditional Arabic" w:hAnsi="Traditional Arabic"/>
          <w:b/>
          <w:bCs/>
          <w:color w:val="0000CC"/>
          <w:sz w:val="48"/>
          <w:szCs w:val="48"/>
          <w:rtl w:val="true"/>
          <w:lang w:bidi="fa-IR"/>
        </w:rPr>
      </w:r>
    </w:p>
    <w:p>
      <w:pPr>
        <w:pStyle w:val="Normal"/>
        <w:bidi w:val="1"/>
        <w:ind w:left="0" w:right="0" w:hanging="0"/>
        <w:jc w:val="both"/>
        <w:rPr/>
      </w:pPr>
      <w:r>
        <w:rPr>
          <w:rFonts w:ascii="Traditional Arabic" w:hAnsi="Traditional Arabic" w:cs="Traditional Arabic"/>
          <w:color w:val="000000"/>
          <w:sz w:val="48"/>
          <w:sz w:val="48"/>
          <w:szCs w:val="48"/>
          <w:rtl w:val="true"/>
          <w:lang w:bidi="fa-IR"/>
        </w:rPr>
        <w:t>سبحان الّذي أنزل الآيات وأظهر البيّنات ونطق بما قام به أهل القبور في يوم فيه حدّثت الأرض أخبارها وسرت نسمة موجدها وخالقها وارتعدت فرائص الّذين كفروا بالله المهيمن القيّوم</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طوبى للّذين سمعوا وأجابوا وقاموا على خدمة الأمر بالرَّوح والرّيحان على شأن ما منعتهم الصّفوف والجنود</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يا باقر استمع النّداء من شطر السّجن ثمّ اشكر ربّك بما توجّه إليك وأنزل لك ما أنار به الوجود قد ذكرك إسمي عليه بهائي وأنزلنا لك ما يبقى به ذكرك بدوام الملك والملكوت ونذكر في هذا المقام من سمّي بعندليب الّذي ذكرناه من قلمي الأعلى في الصّحيفة الحمراء وأنا المقتدر على ما أشاء بقولي كن فيكون</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طوبى لمن يسمع منه ما يهديه إلى الله العزيز الودود</w:t>
      </w:r>
      <w:r>
        <w:rPr>
          <w:rFonts w:cs="Traditional Arabic" w:ascii="Traditional Arabic" w:hAnsi="Traditional Arabic"/>
          <w:color w:val="000000"/>
          <w:sz w:val="48"/>
          <w:szCs w:val="48"/>
          <w:rtl w:val="true"/>
          <w:lang w:bidi="fa-IR"/>
        </w:rPr>
        <w:t xml:space="preserve">. </w:t>
      </w:r>
      <w:r>
        <w:rPr>
          <w:rFonts w:ascii="Traditional Arabic" w:hAnsi="Traditional Arabic" w:cs="Traditional Arabic"/>
          <w:color w:val="000000"/>
          <w:sz w:val="48"/>
          <w:sz w:val="48"/>
          <w:szCs w:val="48"/>
          <w:rtl w:val="true"/>
          <w:lang w:bidi="fa-IR"/>
        </w:rPr>
        <w:t>البهاء عليك وعلى الّذين سمعوا النّداء إذ ارتفع من مقامي المحمود</w:t>
      </w:r>
      <w:r>
        <w:rPr>
          <w:rFonts w:cs="Traditional Arabic" w:ascii="Traditional Arabic" w:hAnsi="Traditional Arabic"/>
          <w:color w:val="000000"/>
          <w:sz w:val="48"/>
          <w:szCs w:val="48"/>
          <w:rtl w:val="true"/>
          <w:lang w:bidi="fa-IR"/>
        </w:rPr>
        <w:t>.</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b/>
        <w:b/>
        <w:bCs/>
        <w:color w:val="0000CC"/>
        <w:sz w:val="28"/>
        <w:sz w:val="28"/>
        <w:szCs w:val="28"/>
        <w:rtl w:val="true"/>
        <w:lang w:bidi="ar-JO"/>
      </w:rPr>
      <w:t xml:space="preserve">لوح الى بصّار </w:t>
    </w:r>
    <w:r>
      <w:rPr>
        <w:rFonts w:cs="Traditional Arabic" w:ascii="Traditional Arabic" w:hAnsi="Traditional Arabic"/>
        <w:b/>
        <w:bCs/>
        <w:color w:val="0000CC"/>
        <w:sz w:val="28"/>
        <w:szCs w:val="28"/>
        <w:rtl w:val="true"/>
        <w:lang w:bidi="ar-JO"/>
      </w:rPr>
      <w:t>(</w:t>
    </w:r>
    <w:r>
      <w:rPr>
        <w:rFonts w:ascii="Traditional Arabic" w:hAnsi="Traditional Arabic" w:cs="Traditional Arabic"/>
        <w:b/>
        <w:b/>
        <w:bCs/>
        <w:color w:val="0000CC"/>
        <w:sz w:val="28"/>
        <w:sz w:val="28"/>
        <w:szCs w:val="28"/>
        <w:lang w:bidi="fa-IR"/>
      </w:rPr>
      <w:t>۳</w:t>
    </w:r>
    <w:r>
      <w:rPr>
        <w:rFonts w:cs="Traditional Arabic" w:ascii="Traditional Arabic" w:hAnsi="Traditional Arabic"/>
        <w:b/>
        <w:bCs/>
        <w:color w:val="0000CC"/>
        <w:sz w:val="28"/>
        <w:szCs w:val="28"/>
        <w:rtl w:val="true"/>
        <w:lang w:bidi="fa-IR"/>
      </w:rPr>
      <w:t xml:space="preserve">) – </w:t>
    </w:r>
    <w:r>
      <w:rPr>
        <w:rFonts w:ascii="Traditional Arabic" w:hAnsi="Traditional Arabic" w:cs="Traditional Arabic"/>
        <w:b/>
        <w:b/>
        <w:bCs/>
        <w:color w:val="0000CC"/>
        <w:sz w:val="28"/>
        <w:sz w:val="28"/>
        <w:szCs w:val="28"/>
        <w:rtl w:val="true"/>
        <w:lang w:bidi="ar-JO"/>
      </w:rPr>
      <w:t xml:space="preserve">حضرة بهاءالله </w:t>
    </w:r>
    <w:r>
      <w:rPr>
        <w:rFonts w:cs="Traditional Arabic" w:ascii="Traditional Arabic" w:hAnsi="Traditional Arabic"/>
        <w:b/>
        <w:bCs/>
        <w:color w:val="0000CC"/>
        <w:sz w:val="28"/>
        <w:szCs w:val="28"/>
        <w:rtl w:val="true"/>
        <w:lang w:bidi="ar-JO"/>
      </w:rPr>
      <w:t xml:space="preserve">- </w:t>
    </w:r>
    <w:r>
      <w:rPr>
        <w:rFonts w:ascii="Traditional Arabic" w:hAnsi="Traditional Arabic" w:cs="Traditional Arabic"/>
        <w:b/>
        <w:b/>
        <w:bCs/>
        <w:color w:val="0000CC"/>
        <w:sz w:val="28"/>
        <w:sz w:val="28"/>
        <w:szCs w:val="28"/>
        <w:rtl w:val="true"/>
        <w:lang w:bidi="ar-JO"/>
      </w:rPr>
      <w:t xml:space="preserve">محاضرات، جلد </w:t>
    </w:r>
    <w:r>
      <w:rPr>
        <w:rFonts w:ascii="Traditional Arabic" w:hAnsi="Traditional Arabic" w:cs="Traditional Arabic"/>
        <w:b/>
        <w:b/>
        <w:bCs/>
        <w:color w:val="0000CC"/>
        <w:sz w:val="28"/>
        <w:sz w:val="28"/>
        <w:szCs w:val="28"/>
        <w:lang w:bidi="fa-IR"/>
      </w:rPr>
      <w:t>۳</w:t>
    </w:r>
    <w:r>
      <w:rPr>
        <w:rFonts w:ascii="Traditional Arabic" w:hAnsi="Traditional Arabic" w:cs="Traditional Arabic"/>
        <w:b/>
        <w:b/>
        <w:bCs/>
        <w:color w:val="0000CC"/>
        <w:sz w:val="28"/>
        <w:sz w:val="28"/>
        <w:szCs w:val="28"/>
        <w:rtl w:val="true"/>
        <w:lang w:bidi="ar-JO"/>
      </w:rPr>
      <w:t xml:space="preserve">، الصفحة </w:t>
    </w:r>
    <w:r>
      <w:rPr>
        <w:rFonts w:ascii="Traditional Arabic" w:hAnsi="Traditional Arabic" w:cs="Traditional Arabic"/>
        <w:b/>
        <w:b/>
        <w:bCs/>
        <w:color w:val="0000CC"/>
        <w:sz w:val="28"/>
        <w:sz w:val="28"/>
        <w:szCs w:val="28"/>
        <w:lang w:bidi="fa-IR"/>
      </w:rPr>
      <w:t>۲۱</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2016-06-22T16:42:00Z</dcterms:created>
  <dc:creator/>
  <dc:description/>
  <dc:language>en-US</dc:language>
  <cp:lastModifiedBy/>
  <dcterms:modified xsi:type="dcterms:W3CDTF">2016-06-22T16:42:00Z</dcterms:modified>
  <cp:revision>1</cp:revision>
  <dc:subject/>
  <dc:title/>
</cp:coreProperties>
</file>