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هواللّه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ما سئ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لت من الحجر فاعلم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 مطروح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كل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مكان وفيه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رنا كنوز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ما اط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لع بها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من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مناه علم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من لدن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ربّك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لهو العليم الخبير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واحد في نفسه ويظهر منه الكثرات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لمن عرفه وشهد قدرة اللّه فيه ولا يمنعه عن هذا الص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المستقيم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لكنز اللّه بين عباده ومخزن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سرار بين خلقه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ومطلع القدرة لكل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عارف بصير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رنا فيه ماء وسم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يناه بالفرار ورب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ينا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رضه بهذا الماء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صعد بقوة الماء الد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الّذي كان مستور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فيه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نه لكبريت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حمر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كليل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كاليل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فس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تي تكل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مت فيها الحكماء وماتت في حسرتها خلق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كثير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ماء في منظره ونار في طبيعته وهواء في سرّه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رنا فيه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وسقيناها بمائه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نبتنا منها رياحين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الحكمة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لسرّ عظيم فاعلم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الحجر يتم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العمل وحده ولا يدخل فيه خارج ولا يخرج منه داخل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 خلقه الله آية قدرته بين العالمين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صل الّذي تكل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 فيه الحكماء والز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يبق ماء الّذي يقطر منه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الماء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مفتاح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 لو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 من العالمين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حصل لك المفتاح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فافتح به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بواب كنائز ربّك في هذا الحجر الّذي منه ينفجر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نهار من لدن حكيم خبير وهذا المفتاح في منظره ماء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وفي باطنه نار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سل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ته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يصعد بقوة الماء دهن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الحكماء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قد 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 بكل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اسم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 لهو الد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والهواء الن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افذ والذ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هب الط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اير والن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فس الر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طبة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 لجوهر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الفاعل الّذي من فعله تحي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فئدة البالغين فلم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عرفت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الحجر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خذت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قدر حاجتك ظه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ره ثمّ فص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 من الن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يظهر لك عناصر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ربعة وتجد نفسك في حيرة عظيم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 مائه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 هو الذ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كر وزوجه باخته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تي 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يت بالكبريت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ذا مضت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 يعقد الماء نفسه ويظهر المولود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رأيت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فاشكر اللّه ربّك ورب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العالمين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 لهو البيض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قراء وقد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فيه الر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وح والن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فس والجسد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ينا هذه البيض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بالحجر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تاللّه كشفنا ما هو المستور عن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عين العلماء والعرفاء والحكماء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وكان ربّك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قول شهيد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ذا بلغت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ليه ورزقك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به هذا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 مقام الت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دبير خذه بحول اللّه وقو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ته ثمّ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خرج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منه الر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وح والن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فس والجسد ثمّ طه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 كل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واحد منها ثمّ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مزجها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 قرعة عمياء ليصير كل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ها شيئ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واحد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تيم لك العمل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وتر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قدرة ربّك وتجد نفسك متحي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في هذا الص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نع العظيم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لو تلقي درهم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منه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لف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لف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جساد المعتدل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 ليقل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بها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 اللّه خالق البري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 وتجدها شمس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خالص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كذلك بي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 لك بيان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شافي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يستغني به الفقراء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والمساكين ينبغي لمن عرفها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لا يصنعه لنفسه ويكون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المت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قين تاللّه عند ربّك علم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لين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خرين وكل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سمعت من الّذي كفر باللّه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 افتر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قل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ها الكاذ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ِ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بسرّها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 لتجده في خسران عظيم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 يكتب بعض ما سمع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وما اط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لع بظاهر ما جر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قلمنا ولساننا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 تصد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قني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لو تكون من المنصفين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 لا يعرف اليمين عن الش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مال وكيف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 ستر في سرادق عظمة ربّك المقتدر الحافظ العليم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نز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 كل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سئ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لواح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شت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لو تريد فانظر فيها لتوقن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العلوم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ها عند ربّك وما اط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لع بها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نفسه العليم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ألواح الاكسير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من آثار حضرت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مائده آسماني، جلد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lang w:bidi="fa-IR"/>
      </w:rPr>
      <w:t>۱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ascii="Naskh MT for Bosch School" w:hAnsi="Naskh MT for Bosch School" w:cs="Naskh MT for Bosch School"/>
        <w:color w:val="0000CC"/>
        <w:lang w:bidi="fa-IR"/>
      </w:rPr>
      <w:t>۲</w:t>
    </w:r>
    <w:r>
      <w:rPr>
        <w:rFonts w:ascii="Naskh MT for Bosch School" w:hAnsi="Naskh MT for Bosch School" w:cs="Naskh MT for Bosch School"/>
        <w:color w:val="0000CC"/>
        <w:lang w:bidi="ar-JO"/>
      </w:rPr>
      <w:t>٤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