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>(</w:t>
      </w:r>
      <w:r>
        <w:rPr>
          <w:rFonts w:cs="Traditional Arabic" w:ascii="Traditional Arabic" w:hAnsi="Traditional Arabic"/>
          <w:b/>
          <w:bCs/>
          <w:color w:val="FF0000"/>
          <w:sz w:val="52"/>
          <w:szCs w:val="52"/>
          <w:highlight w:val="lightGray"/>
          <w:lang w:bidi="fa-IR"/>
        </w:rPr>
        <w:t>3</w:t>
      </w:r>
      <w:r>
        <w:rPr>
          <w:rFonts w:cs="Traditional Arabic" w:ascii="Traditional Arabic" w:hAnsi="Traditional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)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عرفان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مظهر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حقیقت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شناسایی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حقیقی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تبعت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اوامر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احکام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او حاصل میگردد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إذا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فزتم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بهذا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المقام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الأسنى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والأفق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الأعلى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ينبغي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لكلّ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نفس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يتّبع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أمر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لدى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المقصود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ایمان بالله و عرفان او تمام نشود مگر بتصدیق آنچه از ظاهر شده و همچنین عمل به آنچه امر فرموده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بهاءالله، تجلیات، تجلی اول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/>
      </w:pP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مردمان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گفتار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کردار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بايد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چه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گواه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راستی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گفتار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کردار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 xml:space="preserve">است </w:t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eastAsia="MS Mincho;ＭＳ 明朝" w:cs="Simplified Arabic"/>
          <w:sz w:val="32"/>
          <w:szCs w:val="32"/>
          <w:lang w:bidi="ar-JO"/>
        </w:rPr>
      </w:pP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4"/>
          <w:sz w:val="24"/>
          <w:szCs w:val="24"/>
          <w:rtl w:val="true"/>
          <w:lang w:bidi="ar-JO"/>
        </w:rPr>
        <w:t>حضرت بهاءالله، لوح مانکچی صاحب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eastAsia="MS Mincho;ＭＳ 明朝" w:cs="Simplified Arabic"/>
          <w:sz w:val="32"/>
          <w:szCs w:val="32"/>
          <w:lang w:bidi="fa-IR"/>
        </w:rPr>
      </w:pPr>
      <w:r>
        <w:rPr>
          <w:rFonts w:eastAsia="MS Mincho;ＭＳ 明朝"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32"/>
        <w:szCs w:val="32"/>
        <w:rFonts w:cs="Symbol"/>
        <w:lang w:bidi="fa-IR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MS Mincho;ＭＳ 明朝" w:cs="Symbol"/>
      <w:sz w:val="32"/>
      <w:szCs w:val="32"/>
      <w:lang w:bidi="fa-IR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