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FF0000"/>
          <w:sz w:val="52"/>
          <w:szCs w:val="52"/>
          <w:lang w:bidi="fa-IR"/>
        </w:rPr>
      </w:pP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>(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lang w:bidi="fa-IR"/>
        </w:rPr>
        <w:t>4</w:t>
      </w:r>
      <w:r>
        <w:rPr>
          <w:rFonts w:cs="Simplified Arabic" w:ascii="Simplified Arabic" w:hAnsi="Simplified Arabic"/>
          <w:b/>
          <w:bCs/>
          <w:color w:val="FF0000"/>
          <w:sz w:val="52"/>
          <w:szCs w:val="52"/>
          <w:highlight w:val="lightGray"/>
          <w:rtl w:val="true"/>
          <w:lang w:bidi="fa-IR"/>
        </w:rPr>
        <w:t xml:space="preserve">)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عرفان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و عمل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باهمند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ی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ک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ی بدون دیگری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ث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 xml:space="preserve">مری نمی 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نج</w:t>
      </w:r>
      <w:r>
        <w:rPr>
          <w:rFonts w:ascii="Simplified Arabic" w:hAnsi="Simplified Arabic" w:cs="Simplified Arabic"/>
          <w:b/>
          <w:b/>
          <w:bCs/>
          <w:color w:val="FF0000"/>
          <w:sz w:val="52"/>
          <w:sz w:val="52"/>
          <w:szCs w:val="52"/>
          <w:highlight w:val="lightGray"/>
          <w:rtl w:val="true"/>
          <w:lang w:bidi="fa-IR"/>
        </w:rPr>
        <w:t>شد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color w:val="FF0000"/>
          <w:sz w:val="20"/>
          <w:szCs w:val="20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0"/>
          <w:szCs w:val="20"/>
          <w:rtl w:val="true"/>
          <w:lang w:bidi="fa-IR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b/>
          <w:b/>
          <w:bCs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left"/>
        <w:rPr>
          <w:rFonts w:ascii="Naskh MT for Bosch School" w:hAnsi="Naskh MT for Bosch School" w:cs="Naskh MT for Bosch School"/>
          <w:sz w:val="28"/>
          <w:szCs w:val="28"/>
          <w:lang w:bidi="ar-JO"/>
        </w:rPr>
      </w:pPr>
      <w:r>
        <w:rPr>
          <w:rFonts w:cs="Naskh MT for Bosch School" w:ascii="Naskh MT for Bosch School" w:hAnsi="Naskh MT for Bosch School"/>
          <w:sz w:val="28"/>
          <w:szCs w:val="28"/>
          <w:rtl w:val="true"/>
          <w:lang w:bidi="ar-JO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لأنّهما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معا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لا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يقبل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أحدهما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دون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الآخر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هذا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حكم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مطلع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الإلهام </w:t>
      </w:r>
    </w:p>
    <w:p>
      <w:pPr>
        <w:pStyle w:val="ListParagraph"/>
        <w:bidi w:val="1"/>
        <w:ind w:left="720" w:right="0" w:hanging="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کتاب اقدس، بند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1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left"/>
        <w:rPr/>
      </w:pP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ای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برادران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باعمال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خود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بيارائيد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>نه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2"/>
          <w:sz w:val="32"/>
          <w:szCs w:val="32"/>
          <w:rtl w:val="true"/>
          <w:lang w:bidi="ar-JO"/>
        </w:rPr>
        <w:t xml:space="preserve">باقوال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eastAsia="MS Mincho;ＭＳ 明朝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کلمات مکنونه، 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lang w:bidi="ar-JO"/>
        </w:rPr>
        <w:t>5</w:t>
      </w:r>
      <w:r>
        <w:rPr>
          <w:rFonts w:eastAsia="MS Mincho;ＭＳ 明朝" w:cs="Simplified Arabic" w:ascii="Simplified Arabic" w:hAnsi="Simplified Arabic"/>
          <w:color w:val="FF0000"/>
          <w:sz w:val="24"/>
          <w:szCs w:val="24"/>
          <w:rtl w:val="true"/>
          <w:lang w:bidi="ar-JO"/>
        </w:rPr>
        <w:t>)</w:t>
      </w:r>
      <w:r>
        <w:rPr>
          <w:rFonts w:eastAsia="MS Mincho;ＭＳ 明朝" w:cs="Simplified Arabic" w:ascii="Simplified Arabic" w:hAnsi="Simplified Arabic"/>
          <w:sz w:val="32"/>
          <w:szCs w:val="32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eastAsia="MS Mincho;ＭＳ 明朝" w:cs="Simplified Arabic"/>
          <w:sz w:val="32"/>
          <w:szCs w:val="32"/>
          <w:lang w:bidi="ar-JO"/>
        </w:rPr>
      </w:pPr>
      <w:r>
        <w:rPr>
          <w:rFonts w:eastAsia="MS Mincho;ＭＳ 明朝" w:cs="Simplified Arabic" w:ascii="Simplified Arabic" w:hAnsi="Simplified Arabic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3"/>
        </w:numPr>
        <w:bidi w:val="1"/>
        <w:ind w:left="720" w:right="0" w:hanging="360"/>
        <w:jc w:val="both"/>
        <w:rPr/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نفسی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جميع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عمر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بعبادت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مشغول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صفاتيکه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سبب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ارتفاع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امراللّه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است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محروم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ماند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آن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عبادت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حاصل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ندارد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ثمری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نخواهد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بخشيد </w:t>
      </w:r>
    </w:p>
    <w:p>
      <w:pPr>
        <w:pStyle w:val="ListParagraph"/>
        <w:bidi w:val="1"/>
        <w:ind w:left="720" w:right="0" w:hanging="0"/>
        <w:jc w:val="both"/>
        <w:rPr>
          <w:rFonts w:ascii="Simplified Arabic" w:hAnsi="Simplified Arabic" w:cs="Simplified Arabic"/>
          <w:color w:val="FF0000"/>
          <w:sz w:val="24"/>
          <w:szCs w:val="24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لوح فریدون، گنجینه حدود و احکام، ص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4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color w:val="FF0000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بسا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نفوس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نسبت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ميدهند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ولکن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بسی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غافلند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چه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نسبت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بقول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تمام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نشود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صادق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نيايد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دعويرا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برهان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ادعّا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حجّتی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شايد</w:t>
      </w:r>
      <w:r>
        <w:rPr>
          <w:rFonts w:cs="Simplified Arabic" w:ascii="Simplified Arabic" w:hAnsi="Simplified Arabic"/>
          <w:sz w:val="32"/>
          <w:szCs w:val="32"/>
          <w:rtl w:val="true"/>
        </w:rPr>
        <w:t xml:space="preserve">.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پس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کسانيکه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خود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را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بحقّ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منسوب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ميدارند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البتّه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بايد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آثار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تقديس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فعلشان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ظاهر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شود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نَضْرَه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نعيم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از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وجهشان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مشاهده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</w:rPr>
        <w:t xml:space="preserve">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گردد 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>حضرت بهاءالله، گنجینه حدود و احکام، ص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5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</w:r>
    </w:p>
    <w:p>
      <w:pPr>
        <w:pStyle w:val="ListParagraph"/>
        <w:numPr>
          <w:ilvl w:val="0"/>
          <w:numId w:val="2"/>
        </w:numPr>
        <w:bidi w:val="1"/>
        <w:ind w:left="720" w:right="0" w:hanging="36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رأس الإيمان هو التقل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يل في القول و التكث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ّ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ر في العمل و من كان أقوله أزيد من أعماله 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>فاعلموا أ</w:t>
      </w:r>
      <w:r>
        <w:rPr>
          <w:rFonts w:ascii="Simplified Arabic" w:hAnsi="Simplified Arabic" w:cs="Simplified Arabic"/>
          <w:sz w:val="32"/>
          <w:sz w:val="32"/>
          <w:szCs w:val="32"/>
          <w:rtl w:val="true"/>
          <w:lang w:bidi="ar-JO"/>
        </w:rPr>
        <w:t xml:space="preserve">ن عدمه خير من وجوده و فنائه أحسن من بقائه </w:t>
      </w:r>
    </w:p>
    <w:p>
      <w:pPr>
        <w:pStyle w:val="Normal"/>
        <w:bidi w:val="1"/>
        <w:ind w:left="0" w:right="0" w:firstLine="720"/>
        <w:jc w:val="both"/>
        <w:rPr>
          <w:rFonts w:ascii="Simplified Arabic" w:hAnsi="Simplified Arabic" w:cs="Simplified Arabic"/>
          <w:sz w:val="32"/>
          <w:szCs w:val="32"/>
          <w:lang w:bidi="ar-JO"/>
        </w:rPr>
      </w:pP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>(</w:t>
      </w:r>
      <w:r>
        <w:rPr>
          <w:rFonts w:ascii="Simplified Arabic" w:hAnsi="Simplified Arabic" w:cs="Simplified Arabic"/>
          <w:color w:val="FF0000"/>
          <w:sz w:val="24"/>
          <w:sz w:val="24"/>
          <w:szCs w:val="24"/>
          <w:rtl w:val="true"/>
          <w:lang w:bidi="ar-JO"/>
        </w:rPr>
        <w:t xml:space="preserve">حضرت بهاءالله، مجموعه الواح بعد از كتاب اقدس ص </w:t>
      </w:r>
      <w:r>
        <w:rPr>
          <w:rFonts w:cs="Simplified Arabic" w:ascii="Simplified Arabic" w:hAnsi="Simplified Arabic"/>
          <w:color w:val="FF0000"/>
          <w:sz w:val="24"/>
          <w:szCs w:val="24"/>
          <w:lang w:bidi="ar-JO"/>
        </w:rPr>
        <w:t>93</w:t>
      </w:r>
      <w:r>
        <w:rPr>
          <w:rFonts w:cs="Simplified Arabic" w:ascii="Simplified Arabic" w:hAnsi="Simplified Arabic"/>
          <w:color w:val="FF0000"/>
          <w:sz w:val="24"/>
          <w:szCs w:val="24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b/>
          <w:b/>
          <w:bCs/>
          <w:sz w:val="32"/>
          <w:szCs w:val="32"/>
          <w:lang w:bidi="ar-JO"/>
        </w:rPr>
      </w:pPr>
      <w:r>
        <w:rPr>
          <w:rFonts w:cs="Simplified Arabic" w:ascii="Simplified Arabic" w:hAnsi="Simplified Arabic"/>
          <w:b/>
          <w:bCs/>
          <w:sz w:val="32"/>
          <w:szCs w:val="32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36"/>
          <w:szCs w:val="36"/>
          <w:lang w:bidi="fa-IR"/>
        </w:rPr>
      </w:pPr>
      <w:r>
        <w:rPr>
          <w:rFonts w:cs="Traditional Arabic" w:ascii="Traditional Arabic" w:hAnsi="Traditional Arabic"/>
          <w:b/>
          <w:bCs/>
          <w:sz w:val="36"/>
          <w:szCs w:val="36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w:type="default" r:id="rId3"/>
      <w:type w:val="nextPage"/>
      <w:pgSz w:w="12240" w:h="15840"/>
      <w:pgMar w:left="1440" w:right="1440" w:header="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Simplified Arabic">
    <w:charset w:val="00"/>
    <w:family w:val="roman"/>
    <w:pitch w:val="variable"/>
  </w:font>
  <w:font w:name="Traditional Arabic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right"/>
      <w:pPr>
        <w:ind w:left="720" w:hanging="360"/>
      </w:pPr>
      <w:rPr>
        <w:rFonts w:ascii="Symbol" w:hAnsi="Symbol" w:cs="Symbol" w:hint="default"/>
        <w:sz w:val="32"/>
        <w:szCs w:val="32"/>
        <w:rFonts w:cs="Symbol"/>
        <w:lang w:bidi="ar-JO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MS Mincho;ＭＳ 明朝" w:cs="Symbol"/>
      <w:sz w:val="32"/>
      <w:szCs w:val="32"/>
      <w:lang w:bidi="ar-JO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