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lang w:bidi="fa-IR"/>
        </w:rPr>
        <w:t>6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احکام وسیله است و نه هدف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 xml:space="preserve">: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سبب اعظم است از برای تربیت و حفظ بندگان حق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both"/>
        <w:rPr/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إنّ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الّذين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أوتوا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بصآئر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يرون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حدود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السّبب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الأعظم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لنظم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العالم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وحفظ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الأمم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والّذي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غفل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إنّه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همج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رعاع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يجد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أحد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حلاوة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البيان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الّذي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ظهر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مشيّة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الرّحمن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لينفق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عنده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ولو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يكون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خزآئن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الأرض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كلّها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ليثبت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أمرا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أوامره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المشرقة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أفق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العناية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والألطاف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FF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  <w:lang w:bidi="ar-JO"/>
        </w:rPr>
        <w:t>قل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  <w:lang w:bidi="ar-JO"/>
        </w:rPr>
        <w:t>من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  <w:lang w:bidi="ar-JO"/>
        </w:rPr>
        <w:t>حدودي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  <w:lang w:bidi="ar-JO"/>
        </w:rPr>
        <w:t>يمرّ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  <w:lang w:bidi="ar-JO"/>
        </w:rPr>
        <w:t>عرف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  <w:lang w:bidi="ar-JO"/>
        </w:rPr>
        <w:t>قميصي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  <w:lang w:bidi="ar-JO"/>
        </w:rPr>
        <w:t>وبها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  <w:lang w:bidi="ar-JO"/>
        </w:rPr>
        <w:t>تنصب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  <w:lang w:bidi="ar-JO"/>
        </w:rPr>
        <w:t>أعلام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  <w:lang w:bidi="ar-JO"/>
        </w:rPr>
        <w:t>النّصر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  <w:lang w:bidi="ar-JO"/>
        </w:rPr>
        <w:t>على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  <w:lang w:bidi="ar-JO"/>
        </w:rPr>
        <w:t>القنن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pacing w:val="-8"/>
          <w:sz w:val="32"/>
          <w:sz w:val="32"/>
          <w:szCs w:val="32"/>
          <w:rtl w:val="true"/>
          <w:lang w:bidi="ar-JO"/>
        </w:rPr>
        <w:t xml:space="preserve">والأتلال </w:t>
      </w:r>
    </w:p>
    <w:p>
      <w:pPr>
        <w:pStyle w:val="ListParagraph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FF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تحسبنّ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أنّا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نزّلنا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لكم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الأحكام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فتحنا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ختم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الرّحيق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المختوم </w:t>
      </w:r>
    </w:p>
    <w:p>
      <w:pPr>
        <w:pStyle w:val="ListParagraph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32"/>
        <w:szCs w:val="32"/>
        <w:rFonts w:cs="Symbol"/>
        <w:lang w:bidi="ar-JO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Symbol" w:hAnsi="Symbol" w:cs="Symbol"/>
      <w:sz w:val="32"/>
      <w:szCs w:val="32"/>
      <w:lang w:bidi="ar-JO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