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FF0000"/>
          <w:sz w:val="52"/>
          <w:szCs w:val="52"/>
          <w:lang w:bidi="fa-IR"/>
        </w:rPr>
      </w:pPr>
      <w:r>
        <w:rPr>
          <w:rFonts w:cs="Simplified Arabic" w:ascii="Simplified Arabic" w:hAnsi="Simplified Arabic"/>
          <w:b/>
          <w:bCs/>
          <w:color w:val="FF0000"/>
          <w:sz w:val="52"/>
          <w:szCs w:val="52"/>
          <w:highlight w:val="lightGray"/>
          <w:rtl w:val="true"/>
          <w:lang w:bidi="fa-IR"/>
        </w:rPr>
        <w:t>(</w:t>
      </w:r>
      <w:r>
        <w:rPr>
          <w:rFonts w:cs="Simplified Arabic" w:ascii="Simplified Arabic" w:hAnsi="Simplified Arabic"/>
          <w:b/>
          <w:bCs/>
          <w:color w:val="FF0000"/>
          <w:sz w:val="52"/>
          <w:szCs w:val="52"/>
          <w:highlight w:val="lightGray"/>
          <w:lang w:bidi="fa-IR"/>
        </w:rPr>
        <w:t>10</w:t>
      </w:r>
      <w:r>
        <w:rPr>
          <w:rFonts w:cs="Simplified Arabic" w:ascii="Simplified Arabic" w:hAnsi="Simplified Arabic"/>
          <w:b/>
          <w:bCs/>
          <w:color w:val="FF0000"/>
          <w:sz w:val="52"/>
          <w:szCs w:val="52"/>
          <w:highlight w:val="lightGray"/>
          <w:rtl w:val="true"/>
          <w:lang w:bidi="fa-IR"/>
        </w:rPr>
        <w:t xml:space="preserve">) </w:t>
      </w:r>
      <w:r>
        <w:rPr>
          <w:rFonts w:ascii="Simplified Arabic" w:hAnsi="Simplified Arabic" w:cs="Simplified Arabic"/>
          <w:b/>
          <w:b/>
          <w:bCs/>
          <w:color w:val="FF0000"/>
          <w:sz w:val="52"/>
          <w:sz w:val="52"/>
          <w:szCs w:val="52"/>
          <w:highlight w:val="lightGray"/>
          <w:rtl w:val="true"/>
          <w:lang w:bidi="fa-IR"/>
        </w:rPr>
        <w:t xml:space="preserve">هدف اصلی ظهورات الهی بروز و ظهور کمالات انسانی است و نه فقط اجرای حدود و احکام ظاهری </w:t>
      </w:r>
      <w:r>
        <w:rPr>
          <w:rFonts w:cs="Simplified Arabic" w:ascii="Simplified Arabic" w:hAnsi="Simplified Arabic"/>
          <w:b/>
          <w:bCs/>
          <w:color w:val="FF0000"/>
          <w:sz w:val="52"/>
          <w:szCs w:val="52"/>
          <w:highlight w:val="lightGray"/>
          <w:rtl w:val="true"/>
          <w:lang w:bidi="fa-IR"/>
        </w:rPr>
        <w:t xml:space="preserve">: </w:t>
      </w:r>
      <w:r>
        <w:rPr>
          <w:rFonts w:ascii="Simplified Arabic" w:hAnsi="Simplified Arabic" w:cs="Simplified Arabic"/>
          <w:b/>
          <w:b/>
          <w:bCs/>
          <w:color w:val="FF0000"/>
          <w:sz w:val="52"/>
          <w:sz w:val="52"/>
          <w:szCs w:val="52"/>
          <w:highlight w:val="lightGray"/>
          <w:rtl w:val="true"/>
          <w:lang w:bidi="fa-IR"/>
        </w:rPr>
        <w:t xml:space="preserve">احکام وسیله ظهور </w:t>
      </w:r>
      <w:r>
        <w:rPr>
          <w:rFonts w:ascii="Simplified Arabic" w:hAnsi="Simplified Arabic" w:cs="Simplified Arabic"/>
          <w:b/>
          <w:b/>
          <w:bCs/>
          <w:color w:val="FF0000"/>
          <w:sz w:val="52"/>
          <w:sz w:val="52"/>
          <w:szCs w:val="52"/>
          <w:highlight w:val="lightGray"/>
          <w:rtl w:val="true"/>
          <w:lang w:bidi="fa-IR"/>
        </w:rPr>
        <w:t>جواهرات معانی در معدن عالم انسانی میباشد</w:t>
      </w:r>
    </w:p>
    <w:p>
      <w:pPr>
        <w:pStyle w:val="Normal"/>
        <w:bidi w:val="1"/>
        <w:ind w:left="0" w:right="0" w:hanging="0"/>
        <w:jc w:val="left"/>
        <w:rPr>
          <w:rFonts w:ascii="Traditional Arabic" w:hAnsi="Traditional Arabic" w:cs="Traditional Arabic"/>
          <w:b/>
          <w:b/>
          <w:bCs/>
          <w:color w:val="FF0000"/>
          <w:sz w:val="20"/>
          <w:szCs w:val="20"/>
          <w:lang w:bidi="fa-IR"/>
        </w:rPr>
      </w:pPr>
      <w:r>
        <w:rPr>
          <w:rFonts w:cs="Traditional Arabic" w:ascii="Traditional Arabic" w:hAnsi="Traditional Arabic"/>
          <w:b/>
          <w:bCs/>
          <w:color w:val="FF0000"/>
          <w:sz w:val="20"/>
          <w:szCs w:val="20"/>
          <w:rtl w:val="true"/>
          <w:lang w:bidi="fa-IR"/>
        </w:rPr>
      </w:r>
    </w:p>
    <w:p>
      <w:pPr>
        <w:pStyle w:val="Normal"/>
        <w:bidi w:val="1"/>
        <w:ind w:left="0" w:right="0" w:hanging="0"/>
        <w:jc w:val="left"/>
        <w:rPr>
          <w:rFonts w:ascii="Simplified Arabic" w:hAnsi="Simplified Arabic" w:cs="Simplified Arabic"/>
          <w:b/>
          <w:b/>
          <w:bCs/>
          <w:sz w:val="32"/>
          <w:szCs w:val="32"/>
          <w:lang w:bidi="fa-IR"/>
        </w:rPr>
      </w:pPr>
      <w:r>
        <w:rPr>
          <w:rFonts w:cs="Simplified Arabic" w:ascii="Simplified Arabic" w:hAnsi="Simplified Arabic"/>
          <w:b/>
          <w:bCs/>
          <w:sz w:val="32"/>
          <w:szCs w:val="32"/>
          <w:rtl w:val="true"/>
          <w:lang w:bidi="fa-IR"/>
        </w:rPr>
      </w:r>
    </w:p>
    <w:p>
      <w:pPr>
        <w:pStyle w:val="PlainText"/>
        <w:bidi w:val="1"/>
        <w:ind w:left="0" w:right="0" w:hanging="0"/>
        <w:jc w:val="both"/>
        <w:rPr>
          <w:rFonts w:ascii="Simplified Arabic" w:hAnsi="Simplified Arabic" w:cs="Simplified Arabic"/>
          <w:b/>
          <w:b/>
          <w:bCs/>
          <w:sz w:val="32"/>
          <w:szCs w:val="32"/>
          <w:lang w:bidi="fa-IR"/>
        </w:rPr>
      </w:pPr>
      <w:r>
        <w:rPr>
          <w:rFonts w:cs="Simplified Arabic" w:ascii="Simplified Arabic" w:hAnsi="Simplified Arabic"/>
          <w:b/>
          <w:bCs/>
          <w:sz w:val="32"/>
          <w:szCs w:val="32"/>
          <w:rtl w:val="true"/>
          <w:lang w:bidi="fa-IR"/>
        </w:rPr>
      </w:r>
    </w:p>
    <w:p>
      <w:pPr>
        <w:pStyle w:val="PlainText"/>
        <w:numPr>
          <w:ilvl w:val="0"/>
          <w:numId w:val="2"/>
        </w:numPr>
        <w:bidi w:val="1"/>
        <w:ind w:left="720" w:right="0" w:hanging="36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این ظهور از برای اجرای حدودات ظاهره نیامده چنانچه در بیان از قلم رحمن جاری بلکه لاجل ظهورات کمالیه در انفس انسانیه و ارتفاع ارواحهم الی المقامات الباقیه و مایصدقه عقولهم ظاهر و مشرق شده تا آنکه کل فوق ملک و </w:t>
      </w:r>
      <w:r>
        <w:rPr>
          <w:rFonts w:ascii="Simplified Arabic" w:hAnsi="Simplified Arabic" w:cs="Simplified Arabic"/>
          <w:sz w:val="32"/>
          <w:sz w:val="32"/>
          <w:szCs w:val="32"/>
          <w:rtl w:val="true"/>
          <w:lang w:bidi="ar-JO"/>
        </w:rPr>
        <w:t>ملکوت</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مشی</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نمایند</w:t>
      </w:r>
      <w:r>
        <w:rPr>
          <w:rFonts w:ascii="Simplified Arabic" w:hAnsi="Simplified Arabic" w:cs="Simplified Arabic"/>
          <w:sz w:val="32"/>
          <w:sz w:val="32"/>
          <w:szCs w:val="32"/>
          <w:rtl w:val="true"/>
          <w:lang w:bidi="fa-IR"/>
        </w:rPr>
        <w:t xml:space="preserve"> </w:t>
      </w:r>
      <w:r>
        <w:rPr>
          <w:rFonts w:cs="Simplified Arabic" w:ascii="Simplified Arabic" w:hAnsi="Simplified Arabic"/>
          <w:color w:val="FF0000"/>
          <w:sz w:val="24"/>
          <w:szCs w:val="24"/>
          <w:rtl w:val="true"/>
          <w:lang w:bidi="fa-IR"/>
        </w:rPr>
        <w:t>(</w:t>
      </w:r>
      <w:r>
        <w:rPr>
          <w:rFonts w:ascii="Simplified Arabic" w:hAnsi="Simplified Arabic" w:cs="Simplified Arabic"/>
          <w:color w:val="FF0000"/>
          <w:sz w:val="24"/>
          <w:sz w:val="24"/>
          <w:szCs w:val="24"/>
          <w:rtl w:val="true"/>
          <w:lang w:bidi="fa-IR"/>
        </w:rPr>
        <w:t xml:space="preserve">حضرت بهاءالله، مائده آسمانی، ج </w:t>
      </w:r>
      <w:r>
        <w:rPr>
          <w:rFonts w:cs="Simplified Arabic" w:ascii="Simplified Arabic" w:hAnsi="Simplified Arabic"/>
          <w:color w:val="FF0000"/>
          <w:sz w:val="24"/>
          <w:szCs w:val="24"/>
          <w:lang w:bidi="fa-IR"/>
        </w:rPr>
        <w:t>4</w:t>
      </w:r>
      <w:r>
        <w:rPr>
          <w:rFonts w:ascii="Simplified Arabic" w:hAnsi="Simplified Arabic" w:cs="Simplified Arabic"/>
          <w:color w:val="FF0000"/>
          <w:sz w:val="24"/>
          <w:sz w:val="24"/>
          <w:szCs w:val="24"/>
          <w:rtl w:val="true"/>
          <w:lang w:bidi="fa-IR"/>
        </w:rPr>
        <w:t xml:space="preserve">، ص </w:t>
      </w:r>
      <w:r>
        <w:rPr>
          <w:rFonts w:cs="Simplified Arabic" w:ascii="Simplified Arabic" w:hAnsi="Simplified Arabic"/>
          <w:color w:val="FF0000"/>
          <w:sz w:val="24"/>
          <w:szCs w:val="24"/>
          <w:lang w:bidi="fa-IR"/>
        </w:rPr>
        <w:t>157</w:t>
      </w:r>
      <w:r>
        <w:rPr>
          <w:rFonts w:cs="Simplified Arabic" w:ascii="Simplified Arabic" w:hAnsi="Simplified Arabic"/>
          <w:color w:val="FF0000"/>
          <w:sz w:val="24"/>
          <w:szCs w:val="24"/>
          <w:rtl w:val="true"/>
          <w:lang w:bidi="fa-IR"/>
        </w:rPr>
        <w:t>)</w:t>
      </w:r>
      <w:r>
        <w:rPr>
          <w:rFonts w:cs="Simplified Arabic" w:ascii="Simplified Arabic" w:hAnsi="Simplified Arabic"/>
          <w:sz w:val="32"/>
          <w:szCs w:val="32"/>
          <w:rtl w:val="true"/>
          <w:lang w:bidi="fa-IR"/>
        </w:rPr>
        <w:t xml:space="preserve"> </w:t>
      </w:r>
    </w:p>
    <w:p>
      <w:pPr>
        <w:pStyle w:val="Normal"/>
        <w:bidi w:val="1"/>
        <w:ind w:left="0" w:right="0" w:hanging="0"/>
        <w:jc w:val="both"/>
        <w:rPr>
          <w:rFonts w:ascii="Simplified Arabic" w:hAnsi="Simplified Arabic" w:eastAsia="MS Mincho;ＭＳ 明朝" w:cs="Simplified Arabic"/>
          <w:sz w:val="32"/>
          <w:szCs w:val="32"/>
          <w:lang w:bidi="fa-IR"/>
        </w:rPr>
      </w:pPr>
      <w:r>
        <w:rPr>
          <w:rFonts w:eastAsia="MS Mincho;ＭＳ 明朝" w:cs="Simplified Arabic" w:ascii="Simplified Arabic" w:hAnsi="Simplified Arabic"/>
          <w:sz w:val="32"/>
          <w:szCs w:val="32"/>
          <w:rtl w:val="true"/>
          <w:lang w:bidi="fa-IR"/>
        </w:rPr>
      </w:r>
    </w:p>
    <w:p>
      <w:pPr>
        <w:pStyle w:val="PlainText"/>
        <w:numPr>
          <w:ilvl w:val="0"/>
          <w:numId w:val="2"/>
        </w:numPr>
        <w:bidi w:val="1"/>
        <w:ind w:left="720" w:right="0" w:hanging="36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بعضی عقول شاید که بعضی حدودات مذکوره در کتب الهیه را لاجل عدم اطلاع بر مصالح مکنونه در آن تصدیق ننمایند ولکن آنچه از قلم قدم در این ظهوراعظم در اجتماع و اتحاد و اخلاق و آداب و اشتغال بماینتفع به النّاس جاری شده احدی </w:t>
      </w:r>
      <w:r>
        <w:rPr>
          <w:rFonts w:ascii="Simplified Arabic" w:hAnsi="Simplified Arabic" w:cs="Simplified Arabic"/>
          <w:sz w:val="32"/>
          <w:sz w:val="32"/>
          <w:szCs w:val="32"/>
          <w:rtl w:val="true"/>
          <w:lang w:bidi="ar-JO"/>
        </w:rPr>
        <w:t>انکار</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ننموده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نمینماید</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مگر</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آنکه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بالمرّه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از</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عقل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محروم</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 xml:space="preserve">باشد </w:t>
      </w:r>
    </w:p>
    <w:p>
      <w:pPr>
        <w:pStyle w:val="PlainText"/>
        <w:bidi w:val="1"/>
        <w:ind w:left="0" w:right="0" w:firstLine="720"/>
        <w:jc w:val="both"/>
        <w:rPr>
          <w:rFonts w:ascii="Simplified Arabic" w:hAnsi="Simplified Arabic" w:cs="Simplified Arabic"/>
          <w:color w:val="FF0000"/>
          <w:sz w:val="24"/>
          <w:szCs w:val="24"/>
        </w:rPr>
      </w:pPr>
      <w:r>
        <w:rPr>
          <w:rFonts w:cs="Simplified Arabic" w:ascii="Simplified Arabic" w:hAnsi="Simplified Arabic"/>
          <w:color w:val="FF0000"/>
          <w:sz w:val="24"/>
          <w:szCs w:val="24"/>
          <w:rtl w:val="true"/>
          <w:lang w:bidi="ar-JO"/>
        </w:rPr>
        <w:t>(</w:t>
      </w:r>
      <w:r>
        <w:rPr>
          <w:rFonts w:ascii="Simplified Arabic" w:hAnsi="Simplified Arabic" w:cs="Simplified Arabic"/>
          <w:color w:val="FF0000"/>
          <w:sz w:val="24"/>
          <w:sz w:val="24"/>
          <w:szCs w:val="24"/>
          <w:rtl w:val="true"/>
          <w:lang w:bidi="ar-JO"/>
        </w:rPr>
        <w:t xml:space="preserve">حضرت بهاءالله، مائده آسمانی، ج </w:t>
      </w:r>
      <w:r>
        <w:rPr>
          <w:rFonts w:cs="Simplified Arabic" w:ascii="Simplified Arabic" w:hAnsi="Simplified Arabic"/>
          <w:color w:val="FF0000"/>
          <w:sz w:val="24"/>
          <w:szCs w:val="24"/>
          <w:lang w:bidi="ar-JO"/>
        </w:rPr>
        <w:t>4</w:t>
      </w:r>
      <w:r>
        <w:rPr>
          <w:rFonts w:ascii="Simplified Arabic" w:hAnsi="Simplified Arabic" w:cs="Simplified Arabic"/>
          <w:color w:val="FF0000"/>
          <w:sz w:val="24"/>
          <w:sz w:val="24"/>
          <w:szCs w:val="24"/>
          <w:rtl w:val="true"/>
          <w:lang w:bidi="ar-JO"/>
        </w:rPr>
        <w:t xml:space="preserve">، ص </w:t>
      </w:r>
      <w:r>
        <w:rPr>
          <w:rFonts w:cs="Simplified Arabic" w:ascii="Simplified Arabic" w:hAnsi="Simplified Arabic"/>
          <w:color w:val="FF0000"/>
          <w:sz w:val="24"/>
          <w:szCs w:val="24"/>
          <w:lang w:bidi="ar-JO"/>
        </w:rPr>
        <w:t>158</w:t>
      </w:r>
      <w:r>
        <w:rPr>
          <w:rFonts w:cs="Simplified Arabic" w:ascii="Simplified Arabic" w:hAnsi="Simplified Arabic"/>
          <w:color w:val="FF0000"/>
          <w:sz w:val="24"/>
          <w:szCs w:val="24"/>
          <w:rtl w:val="true"/>
          <w:lang w:bidi="ar-JO"/>
        </w:rPr>
        <w:t xml:space="preserve">) </w:t>
      </w:r>
    </w:p>
    <w:p>
      <w:pPr>
        <w:pStyle w:val="Normal"/>
        <w:bidi w:val="1"/>
        <w:ind w:left="0" w:right="0" w:hanging="0"/>
        <w:jc w:val="both"/>
        <w:rPr>
          <w:rFonts w:ascii="Simplified Arabic" w:hAnsi="Simplified Arabic" w:eastAsia="MS Mincho;ＭＳ 明朝" w:cs="Simplified Arabic"/>
          <w:color w:val="FF0000"/>
          <w:sz w:val="32"/>
          <w:szCs w:val="32"/>
          <w:lang w:bidi="ar-JO"/>
        </w:rPr>
      </w:pPr>
      <w:r>
        <w:rPr>
          <w:rFonts w:eastAsia="MS Mincho;ＭＳ 明朝" w:cs="Simplified Arabic" w:ascii="Simplified Arabic" w:hAnsi="Simplified Arabic"/>
          <w:color w:val="FF0000"/>
          <w:sz w:val="32"/>
          <w:szCs w:val="32"/>
          <w:rtl w:val="true"/>
          <w:lang w:bidi="ar-JO"/>
        </w:rPr>
      </w:r>
    </w:p>
    <w:p>
      <w:pPr>
        <w:pStyle w:val="ListParagraph"/>
        <w:numPr>
          <w:ilvl w:val="0"/>
          <w:numId w:val="3"/>
        </w:numPr>
        <w:bidi w:val="1"/>
        <w:ind w:left="720" w:right="0" w:hanging="360"/>
        <w:jc w:val="both"/>
        <w:rPr/>
      </w:pPr>
      <w:r>
        <w:rPr>
          <w:rFonts w:ascii="Simplified Arabic" w:hAnsi="Simplified Arabic" w:eastAsia="MS Mincho;ＭＳ 明朝" w:cs="Simplified Arabic"/>
          <w:sz w:val="32"/>
          <w:sz w:val="32"/>
          <w:szCs w:val="32"/>
          <w:rtl w:val="true"/>
          <w:lang w:bidi="ar-JO"/>
        </w:rPr>
        <w:t>بقدر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شعری</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از</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شريعت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که</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فی</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الحقيقه</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سرّ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طريقت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ثمره</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شجره</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حقيقت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است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انحراف</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نورزد</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در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همه</w:t>
      </w:r>
      <w:r>
        <w:rPr>
          <w:rFonts w:ascii="Simplified Arabic" w:hAnsi="Simplified Arabic" w:eastAsia="MS Mincho;ＭＳ 明朝" w:cs="Simplified Arabic"/>
          <w:sz w:val="32"/>
          <w:sz w:val="32"/>
          <w:szCs w:val="32"/>
          <w:rtl w:val="true"/>
          <w:lang w:bidi="fa-IR"/>
        </w:rPr>
        <w:t>ء</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مراتب</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بذيل</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اطاعت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اوامر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متشبّث</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باشد</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بحبل</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اعراض</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از</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مناهی</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متمسّک</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تا</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از</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کأس</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شريعت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مرزوق</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شود</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اسرار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حقيقت</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واقف</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 xml:space="preserve">گردد </w:t>
      </w:r>
    </w:p>
    <w:p>
      <w:pPr>
        <w:pStyle w:val="ListParagraph"/>
        <w:bidi w:val="1"/>
        <w:ind w:left="720" w:right="0" w:hanging="0"/>
        <w:jc w:val="both"/>
        <w:rPr>
          <w:rFonts w:ascii="Simplified Arabic" w:hAnsi="Simplified Arabic" w:eastAsia="MS Mincho;ＭＳ 明朝" w:cs="Simplified Arabic"/>
          <w:color w:val="FF0000"/>
          <w:sz w:val="24"/>
          <w:szCs w:val="24"/>
          <w:lang w:bidi="ar-JO"/>
        </w:rPr>
      </w:pPr>
      <w:r>
        <w:rPr>
          <w:rFonts w:eastAsia="MS Mincho;ＭＳ 明朝" w:cs="Simplified Arabic" w:ascii="Simplified Arabic" w:hAnsi="Simplified Arabic"/>
          <w:color w:val="FF0000"/>
          <w:sz w:val="24"/>
          <w:szCs w:val="24"/>
          <w:rtl w:val="true"/>
          <w:lang w:bidi="ar-JO"/>
        </w:rPr>
        <w:t>(</w:t>
      </w:r>
      <w:r>
        <w:rPr>
          <w:rFonts w:ascii="Simplified Arabic" w:hAnsi="Simplified Arabic" w:eastAsia="MS Mincho;ＭＳ 明朝" w:cs="Simplified Arabic"/>
          <w:color w:val="FF0000"/>
          <w:sz w:val="24"/>
          <w:sz w:val="24"/>
          <w:szCs w:val="24"/>
          <w:rtl w:val="true"/>
          <w:lang w:bidi="ar-JO"/>
        </w:rPr>
        <w:t>حضرت بهاءالله، هفت وادی، وادی فقر حقیقی و فنای واقعی</w:t>
      </w:r>
      <w:r>
        <w:rPr>
          <w:rFonts w:eastAsia="MS Mincho;ＭＳ 明朝" w:cs="Simplified Arabic" w:ascii="Simplified Arabic" w:hAnsi="Simplified Arabic"/>
          <w:color w:val="FF0000"/>
          <w:sz w:val="24"/>
          <w:szCs w:val="24"/>
          <w:rtl w:val="true"/>
          <w:lang w:bidi="ar-JO"/>
        </w:rPr>
        <w:t xml:space="preserve">) </w:t>
      </w:r>
    </w:p>
    <w:p>
      <w:pPr>
        <w:pStyle w:val="Normal"/>
        <w:bidi w:val="1"/>
        <w:ind w:left="0" w:right="0" w:hanging="0"/>
        <w:jc w:val="both"/>
        <w:rPr>
          <w:rFonts w:ascii="Simplified Arabic" w:hAnsi="Simplified Arabic" w:eastAsia="MS Mincho;ＭＳ 明朝" w:cs="Simplified Arabic"/>
          <w:color w:val="FF0000"/>
          <w:sz w:val="32"/>
          <w:szCs w:val="32"/>
          <w:lang w:bidi="ar-JO"/>
        </w:rPr>
      </w:pPr>
      <w:r>
        <w:rPr>
          <w:rFonts w:eastAsia="MS Mincho;ＭＳ 明朝" w:cs="Simplified Arabic" w:ascii="Simplified Arabic" w:hAnsi="Simplified Arabic"/>
          <w:color w:val="FF0000"/>
          <w:sz w:val="32"/>
          <w:szCs w:val="32"/>
          <w:rtl w:val="true"/>
          <w:lang w:bidi="ar-JO"/>
        </w:rPr>
      </w:r>
    </w:p>
    <w:p>
      <w:pPr>
        <w:pStyle w:val="ListParagraph"/>
        <w:numPr>
          <w:ilvl w:val="0"/>
          <w:numId w:val="3"/>
        </w:numPr>
        <w:bidi w:val="1"/>
        <w:ind w:left="720" w:right="0" w:hanging="360"/>
        <w:jc w:val="both"/>
        <w:rPr/>
      </w:pPr>
      <w:r>
        <w:rPr>
          <w:rFonts w:ascii="Simplified Arabic" w:hAnsi="Simplified Arabic" w:eastAsia="MS Mincho;ＭＳ 明朝" w:cs="Simplified Arabic"/>
          <w:sz w:val="32"/>
          <w:sz w:val="32"/>
          <w:szCs w:val="32"/>
          <w:rtl w:val="true"/>
          <w:lang w:bidi="ar-JO"/>
        </w:rPr>
        <w:t>جز</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در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گلبن</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معانی</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جای</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 xml:space="preserve">مگزين </w:t>
      </w:r>
      <w:r>
        <w:rPr>
          <w:rFonts w:eastAsia="MS Mincho;ＭＳ 明朝" w:cs="Simplified Arabic" w:ascii="Simplified Arabic" w:hAnsi="Simplified Arabic"/>
          <w:color w:val="FF0000"/>
          <w:sz w:val="24"/>
          <w:szCs w:val="24"/>
          <w:rtl w:val="true"/>
          <w:lang w:bidi="ar-JO"/>
        </w:rPr>
        <w:t>(</w:t>
      </w:r>
      <w:r>
        <w:rPr>
          <w:rFonts w:ascii="Simplified Arabic" w:hAnsi="Simplified Arabic" w:eastAsia="MS Mincho;ＭＳ 明朝" w:cs="Simplified Arabic"/>
          <w:color w:val="FF0000"/>
          <w:sz w:val="24"/>
          <w:sz w:val="24"/>
          <w:szCs w:val="24"/>
          <w:rtl w:val="true"/>
          <w:lang w:bidi="ar-JO"/>
        </w:rPr>
        <w:t xml:space="preserve">حضرت بهاءالله، کلمات مکنونه، </w:t>
      </w:r>
      <w:r>
        <w:rPr>
          <w:rFonts w:eastAsia="MS Mincho;ＭＳ 明朝" w:cs="Simplified Arabic" w:ascii="Simplified Arabic" w:hAnsi="Simplified Arabic"/>
          <w:color w:val="FF0000"/>
          <w:sz w:val="24"/>
          <w:szCs w:val="24"/>
          <w:lang w:bidi="ar-JO"/>
        </w:rPr>
        <w:t>1</w:t>
      </w:r>
      <w:r>
        <w:rPr>
          <w:rFonts w:eastAsia="MS Mincho;ＭＳ 明朝" w:cs="Simplified Arabic" w:ascii="Simplified Arabic" w:hAnsi="Simplified Arabic"/>
          <w:color w:val="FF0000"/>
          <w:sz w:val="24"/>
          <w:szCs w:val="24"/>
          <w:rtl w:val="true"/>
          <w:lang w:bidi="ar-JO"/>
        </w:rPr>
        <w:t>)</w:t>
      </w:r>
      <w:r>
        <w:rPr>
          <w:rFonts w:eastAsia="MS Mincho;ＭＳ 明朝" w:cs="Simplified Arabic" w:ascii="Simplified Arabic" w:hAnsi="Simplified Arabic"/>
          <w:sz w:val="32"/>
          <w:szCs w:val="32"/>
          <w:rtl w:val="true"/>
          <w:lang w:bidi="ar-JO"/>
        </w:rPr>
        <w:t xml:space="preserve"> </w:t>
      </w:r>
    </w:p>
    <w:p>
      <w:pPr>
        <w:pStyle w:val="Normal"/>
        <w:bidi w:val="1"/>
        <w:ind w:left="0" w:right="0" w:hanging="0"/>
        <w:jc w:val="both"/>
        <w:rPr>
          <w:rFonts w:ascii="Simplified Arabic" w:hAnsi="Simplified Arabic" w:eastAsia="MS Mincho;ＭＳ 明朝" w:cs="Simplified Arabic"/>
          <w:sz w:val="32"/>
          <w:szCs w:val="32"/>
          <w:lang w:bidi="ar-JO"/>
        </w:rPr>
      </w:pPr>
      <w:r>
        <w:rPr>
          <w:rFonts w:eastAsia="MS Mincho;ＭＳ 明朝" w:cs="Simplified Arabic" w:ascii="Simplified Arabic" w:hAnsi="Simplified Arabic"/>
          <w:sz w:val="32"/>
          <w:szCs w:val="32"/>
          <w:rtl w:val="true"/>
          <w:lang w:bidi="ar-JO"/>
        </w:rPr>
      </w:r>
    </w:p>
    <w:p>
      <w:pPr>
        <w:pStyle w:val="ListParagraph"/>
        <w:numPr>
          <w:ilvl w:val="0"/>
          <w:numId w:val="3"/>
        </w:numPr>
        <w:bidi w:val="1"/>
        <w:ind w:left="720" w:right="0" w:hanging="360"/>
        <w:jc w:val="both"/>
        <w:rPr>
          <w:rFonts w:ascii="Simplified Arabic" w:hAnsi="Simplified Arabic" w:eastAsia="MS Mincho;ＭＳ 明朝" w:cs="Simplified Arabic"/>
          <w:sz w:val="32"/>
          <w:szCs w:val="32"/>
          <w:lang w:bidi="ar-JO"/>
        </w:rPr>
      </w:pPr>
      <w:r>
        <w:rPr>
          <w:rFonts w:ascii="Simplified Arabic" w:hAnsi="Simplified Arabic" w:eastAsia="MS Mincho;ＭＳ 明朝" w:cs="Simplified Arabic"/>
          <w:sz w:val="32"/>
          <w:sz w:val="32"/>
          <w:szCs w:val="32"/>
          <w:rtl w:val="true"/>
          <w:lang w:bidi="ar-JO"/>
        </w:rPr>
        <w:t>از</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مدارج</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ذلّ</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وهم</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بگذر</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و</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بمعارج</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عزّ</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يقين</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اندرا</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چشم</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حق</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بگشا</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تا</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جمال</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مبين</w:t>
      </w:r>
      <w:r>
        <w:rPr>
          <w:rFonts w:ascii="Simplified Arabic" w:hAnsi="Simplified Arabic" w:eastAsia="MS Mincho;ＭＳ 明朝" w:cs="Simplified Arabic"/>
          <w:sz w:val="32"/>
          <w:sz w:val="32"/>
          <w:szCs w:val="32"/>
          <w:rtl w:val="true"/>
        </w:rPr>
        <w:t xml:space="preserve"> </w:t>
      </w:r>
      <w:r>
        <w:rPr>
          <w:rFonts w:ascii="Simplified Arabic" w:hAnsi="Simplified Arabic" w:eastAsia="MS Mincho;ＭＳ 明朝" w:cs="Simplified Arabic"/>
          <w:sz w:val="32"/>
          <w:sz w:val="32"/>
          <w:szCs w:val="32"/>
          <w:rtl w:val="true"/>
          <w:lang w:bidi="ar-JO"/>
        </w:rPr>
        <w:t xml:space="preserve">بينی </w:t>
      </w:r>
      <w:r>
        <w:rPr>
          <w:rFonts w:eastAsia="MS Mincho;ＭＳ 明朝" w:cs="Simplified Arabic" w:ascii="Simplified Arabic" w:hAnsi="Simplified Arabic"/>
          <w:color w:val="FF0000"/>
          <w:sz w:val="24"/>
          <w:szCs w:val="24"/>
          <w:rtl w:val="true"/>
          <w:lang w:bidi="ar-JO"/>
        </w:rPr>
        <w:t>(</w:t>
      </w:r>
      <w:r>
        <w:rPr>
          <w:rFonts w:ascii="Simplified Arabic" w:hAnsi="Simplified Arabic" w:eastAsia="MS Mincho;ＭＳ 明朝" w:cs="Simplified Arabic"/>
          <w:color w:val="FF0000"/>
          <w:sz w:val="24"/>
          <w:sz w:val="24"/>
          <w:szCs w:val="24"/>
          <w:rtl w:val="true"/>
          <w:lang w:bidi="ar-JO"/>
        </w:rPr>
        <w:t xml:space="preserve">حضرت بهاءالله، کلمات مکنونه، </w:t>
      </w:r>
      <w:r>
        <w:rPr>
          <w:rFonts w:eastAsia="MS Mincho;ＭＳ 明朝" w:cs="Simplified Arabic" w:ascii="Simplified Arabic" w:hAnsi="Simplified Arabic"/>
          <w:color w:val="FF0000"/>
          <w:sz w:val="24"/>
          <w:szCs w:val="24"/>
          <w:lang w:bidi="ar-JO"/>
        </w:rPr>
        <w:t>9</w:t>
      </w:r>
      <w:r>
        <w:rPr>
          <w:rFonts w:eastAsia="MS Mincho;ＭＳ 明朝" w:cs="Simplified Arabic" w:ascii="Simplified Arabic" w:hAnsi="Simplified Arabic"/>
          <w:color w:val="FF0000"/>
          <w:sz w:val="24"/>
          <w:szCs w:val="24"/>
          <w:rtl w:val="true"/>
          <w:lang w:bidi="ar-JO"/>
        </w:rPr>
        <w:t>)</w:t>
      </w:r>
    </w:p>
    <w:p>
      <w:pPr>
        <w:pStyle w:val="Normal"/>
        <w:bidi w:val="1"/>
        <w:ind w:left="0" w:right="0" w:hanging="0"/>
        <w:jc w:val="both"/>
        <w:rPr>
          <w:rFonts w:ascii="Simplified Arabic" w:hAnsi="Simplified Arabic" w:eastAsia="MS Mincho;ＭＳ 明朝" w:cs="Simplified Arabic"/>
          <w:sz w:val="32"/>
          <w:szCs w:val="32"/>
          <w:lang w:bidi="ar-JO"/>
        </w:rPr>
      </w:pPr>
      <w:r>
        <w:rPr>
          <w:rFonts w:eastAsia="MS Mincho;ＭＳ 明朝" w:cs="Simplified Arabic" w:ascii="Simplified Arabic" w:hAnsi="Simplified Arabic"/>
          <w:sz w:val="32"/>
          <w:szCs w:val="32"/>
          <w:rtl w:val="true"/>
          <w:lang w:bidi="ar-JO"/>
        </w:rPr>
      </w:r>
    </w:p>
    <w:p>
      <w:pPr>
        <w:pStyle w:val="ListParagraph"/>
        <w:numPr>
          <w:ilvl w:val="0"/>
          <w:numId w:val="3"/>
        </w:numPr>
        <w:bidi w:val="1"/>
        <w:ind w:left="720" w:right="0" w:hanging="360"/>
        <w:jc w:val="both"/>
        <w:rPr>
          <w:rFonts w:ascii="Simplified Arabic" w:hAnsi="Simplified Arabic" w:eastAsia="MS Mincho;ＭＳ 明朝" w:cs="Simplified Arabic"/>
          <w:sz w:val="32"/>
          <w:szCs w:val="32"/>
          <w:lang w:bidi="ar-JO"/>
        </w:rPr>
      </w:pPr>
      <w:r>
        <w:rPr>
          <w:rFonts w:ascii="Simplified Arabic" w:hAnsi="Simplified Arabic" w:eastAsia="MS Mincho;ＭＳ 明朝" w:cs="Simplified Arabic"/>
          <w:sz w:val="32"/>
          <w:sz w:val="32"/>
          <w:szCs w:val="32"/>
          <w:rtl w:val="true"/>
          <w:lang w:bidi="ar-JO"/>
        </w:rPr>
        <w:t xml:space="preserve">انبیای الهی و کتب ربّانی کل ازبرای هدایت خلق بوده که شاید به مقام حرّیت حقیقی و آزادی معنوی فائز گردند </w:t>
      </w:r>
      <w:r>
        <w:rPr>
          <w:rFonts w:eastAsia="MS Mincho;ＭＳ 明朝" w:cs="Simplified Arabic" w:ascii="Simplified Arabic" w:hAnsi="Simplified Arabic"/>
          <w:color w:val="FF0000"/>
          <w:sz w:val="24"/>
          <w:szCs w:val="24"/>
          <w:rtl w:val="true"/>
          <w:lang w:bidi="ar-JO"/>
        </w:rPr>
        <w:t>(</w:t>
      </w:r>
      <w:r>
        <w:rPr>
          <w:rFonts w:ascii="Simplified Arabic" w:hAnsi="Simplified Arabic" w:eastAsia="MS Mincho;ＭＳ 明朝" w:cs="Simplified Arabic"/>
          <w:color w:val="FF0000"/>
          <w:sz w:val="24"/>
          <w:sz w:val="24"/>
          <w:szCs w:val="24"/>
          <w:rtl w:val="true"/>
          <w:lang w:bidi="ar-JO"/>
        </w:rPr>
        <w:t xml:space="preserve">حضرت بهاءالله، رهایی، ص </w:t>
      </w:r>
      <w:r>
        <w:rPr>
          <w:rFonts w:eastAsia="MS Mincho;ＭＳ 明朝" w:cs="Simplified Arabic" w:ascii="Simplified Arabic" w:hAnsi="Simplified Arabic"/>
          <w:color w:val="FF0000"/>
          <w:sz w:val="24"/>
          <w:szCs w:val="24"/>
          <w:lang w:bidi="ar-JO"/>
        </w:rPr>
        <w:t>264</w:t>
      </w:r>
      <w:r>
        <w:rPr>
          <w:rFonts w:eastAsia="MS Mincho;ＭＳ 明朝" w:cs="Simplified Arabic" w:ascii="Simplified Arabic" w:hAnsi="Simplified Arabic"/>
          <w:color w:val="FF0000"/>
          <w:sz w:val="24"/>
          <w:szCs w:val="24"/>
          <w:rtl w:val="true"/>
          <w:lang w:bidi="ar-JO"/>
        </w:rPr>
        <w:t xml:space="preserve">) </w:t>
      </w:r>
    </w:p>
    <w:p>
      <w:pPr>
        <w:pStyle w:val="Normal"/>
        <w:bidi w:val="1"/>
        <w:ind w:left="0" w:right="0" w:hanging="0"/>
        <w:jc w:val="both"/>
        <w:rPr>
          <w:rFonts w:ascii="Traditional Arabic" w:hAnsi="Traditional Arabic" w:eastAsia="MS Mincho;ＭＳ 明朝" w:cs="Traditional Arabic"/>
          <w:b/>
          <w:b/>
          <w:bCs/>
          <w:sz w:val="20"/>
          <w:szCs w:val="20"/>
          <w:lang w:bidi="fa-IR"/>
        </w:rPr>
      </w:pPr>
      <w:r>
        <w:rPr>
          <w:rFonts w:eastAsia="MS Mincho;ＭＳ 明朝" w:cs="Traditional Arabic" w:ascii="Traditional Arabic" w:hAnsi="Traditional Arabic"/>
          <w:b/>
          <w:bCs/>
          <w:sz w:val="20"/>
          <w:szCs w:val="20"/>
          <w:rtl w:val="true"/>
          <w:lang w:bidi="fa-IR"/>
        </w:rPr>
      </w:r>
    </w:p>
    <w:p>
      <w:pPr>
        <w:pStyle w:val="Normal"/>
        <w:bidi w:val="1"/>
        <w:ind w:left="0" w:right="0" w:hanging="0"/>
        <w:jc w:val="center"/>
        <w:rPr>
          <w:rFonts w:ascii="Traditional Arabic" w:hAnsi="Traditional Arabic" w:cs="Traditional Arabic"/>
          <w:b/>
          <w:b/>
          <w:bCs/>
          <w:sz w:val="36"/>
          <w:szCs w:val="36"/>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footerReference w:type="default" r:id="rId3"/>
      <w:type w:val="nextPage"/>
      <w:pgSz w:w="12240" w:h="15840"/>
      <w:pgMar w:left="1440" w:right="1440" w:header="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right"/>
      <w:pPr>
        <w:ind w:left="720" w:hanging="360"/>
      </w:pPr>
      <w:rPr>
        <w:rFonts w:ascii="Symbol" w:hAnsi="Symbol" w:cs="Symbol" w:hint="default"/>
        <w:rFonts w:cs="Symbol"/>
      </w:rPr>
    </w:lvl>
  </w:abstractNum>
  <w:abstractNum w:abstractNumId="3">
    <w:lvl w:ilvl="0">
      <w:start w:val="1"/>
      <w:numFmt w:val="bullet"/>
      <w:lvlText w:val=""/>
      <w:lvlJc w:val="right"/>
      <w:pPr>
        <w:ind w:left="720" w:hanging="360"/>
      </w:pPr>
      <w:rPr>
        <w:rFonts w:ascii="Symbol" w:hAnsi="Symbol" w:cs="Symbol" w:hint="default"/>
        <w:sz w:val="32"/>
        <w:szCs w:val="32"/>
        <w:rFonts w:cs="Symbol"/>
        <w:lang w:bidi="ar-JO"/>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eastAsia="MS Mincho;ＭＳ 明朝" w:cs="Symbol"/>
      <w:sz w:val="32"/>
      <w:szCs w:val="32"/>
      <w:lang w:bidi="ar-JO"/>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