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48C2" w14:textId="77777777" w:rsidR="007435C8" w:rsidRPr="007435C8" w:rsidRDefault="007435C8" w:rsidP="007435C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7435C8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7435C8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7435C8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0C9265C1" w14:textId="77777777" w:rsidR="007435C8" w:rsidRPr="007435C8" w:rsidRDefault="007435C8" w:rsidP="007435C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7435C8">
        <w:rPr>
          <w:rFonts w:ascii="Naskh MT for Bosch School" w:hAnsi="Naskh MT for Bosch School" w:cs="Naskh MT for Bosch School"/>
          <w:b/>
          <w:bCs/>
          <w:rtl/>
        </w:rPr>
        <w:t>فصل سوّم</w:t>
      </w:r>
    </w:p>
    <w:p w14:paraId="67564CFE" w14:textId="77777777" w:rsidR="007435C8" w:rsidRPr="007435C8" w:rsidRDefault="007435C8" w:rsidP="007435C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7435C8">
        <w:rPr>
          <w:rFonts w:ascii="Naskh MT for Bosch School" w:hAnsi="Naskh MT for Bosch School" w:cs="Naskh MT for Bosch School"/>
          <w:b/>
          <w:bCs/>
          <w:rtl/>
        </w:rPr>
        <w:t>در طرز و موقع انتخاب</w:t>
      </w:r>
    </w:p>
    <w:p w14:paraId="74D488BB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8E73AF" w14:textId="77777777" w:rsidR="007435C8" w:rsidRPr="00502181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جلّت قدرته در لوح مبارک مورّخ ٢٧ شباط ١٩٢٣مطابق ١١ رجب ١٣۴١ ميفرمايند قوله تعالی:</w:t>
      </w:r>
    </w:p>
    <w:p w14:paraId="2BF8BCE5" w14:textId="77777777" w:rsidR="007435C8" w:rsidRPr="00B97C29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"محافل روحانی ياران در شرق و غرب عالم بايد من دون استثناء هر سالی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در يوم اوّل عيد سعيد رضوان تجديد شود و انتخابات در آن يوم مبارک بايد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نهايت متانت و روحانيّت شروع شود و اجرا گردد و اگر ممکن همان يوم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نتيجه انتخابات معلوم و اعلان شود. و اصول انتخاب از اين قرار چون يوم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رسد بايد جميع ياران متّحدا متّفقا متوجّها اليه منقطعا عن دونه طالبا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هدايته مستعينا من فضله بدل و جان اقدام بانتخاب نمايند و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اعضای محفل روحانی خويش را از وظايف مقدّسه مهمّه وجدانيّه خويش شمرند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ابدا اهمال در اين امر نکنند و کناره نگيرند و دوری نجويند. منتخبين و منتخبين بهيچوجه دم از استعفا نزنند بلکه در نهايت افتخار و جديّت و سرور ابدای رأی نمايند و عضويّت محفل را قبول نمايند. ولی اگر فی الحقيقه عذر شرعی موجود و بهيچوجه ممکن نه آنوقت ناچار اقدام ننمايند و از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الرّحمن نفوسی که اطّلاع کافی بر امور امريّه نداشته باشند مجبور و مکلّف بر ابدای رأی نيستند. در صورت اطّلاع اقدام باين امر محبوب و لازم  و الّا فلا. و ياران آن نفوس را که خالصا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لوجه‏اللّه مستعدّ و قابل عضويّت محفل روحانی دانند بر ورقه عليحده 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نفر از ياران را من دون امضاء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بنگارند و مکتوم دارند و تسليم محفل روحانیحاليّه نمايند تا اين اوراق جمع گردد و آن نه نفريکه بيش از همه دارای اصواتند اسماء آنان اعلان شود و اين نفوس اعضای محفل روحانی گردند."</w:t>
      </w:r>
    </w:p>
    <w:p w14:paraId="00735923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2F532D" w14:textId="77777777" w:rsidR="007435C8" w:rsidRPr="00502181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مبارک مورّخ يازدهم شوّال ١٣۴۴ ميفرمايند قوله العزيز:</w:t>
      </w:r>
    </w:p>
    <w:p w14:paraId="0696DFC9" w14:textId="77777777" w:rsidR="007435C8" w:rsidRPr="00B97C29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تفتين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بعضی نفوس متنفّذ بين احبّاء در اوقات انتخابات فرمودند اين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امريست وخيم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بايد بتدابير الهيّه تشبّث کرد و پناه بخداوند قادر عليم برد بلکه اينگونه اشخاص منتخب نشوند و پس از انتخاب غلبه ننمايند."</w:t>
      </w:r>
    </w:p>
    <w:p w14:paraId="6513D951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84D437" w14:textId="77777777" w:rsidR="007435C8" w:rsidRPr="00502181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نازل قوله الأحلی:</w:t>
      </w:r>
    </w:p>
    <w:p w14:paraId="13CE0904" w14:textId="77777777" w:rsidR="007435C8" w:rsidRPr="00B97C29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ايّام رضوان چون ميعاد تجديد انتخابات محافل محلّی و مرکزی رسد بدل و جان باين امر خطير 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 دون استثناء و استعفا اقدام کنند و در اينعمل مبرور بر يکديگر سبقت جويند."</w:t>
      </w:r>
    </w:p>
    <w:p w14:paraId="32B81F50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067218D3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42DDB790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623C996C" w14:textId="622F124B" w:rsidR="007435C8" w:rsidRPr="00056F41" w:rsidRDefault="007435C8" w:rsidP="007435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مقام ديگر ميفرمايند قوله العزيز:</w:t>
      </w:r>
    </w:p>
    <w:p w14:paraId="49D69C33" w14:textId="77777777" w:rsidR="007435C8" w:rsidRPr="00B97C29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انتخاب در جامعه بهائيان سرّی و عمومی و آزاد است و از تدابير و تشبّثات و مفاسد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مکاره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اهل دسيسه و عدوان بکلّی منزّه و مبرّا. انتخاب سرّی و آزاد است حتّی اطّلاع زوج بر کيفيّت انتخاب و رأی زوجه جائز نه. و همچنين مابين افراد يک خانواده امر انتخاب بايد مکتوم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باشد  ابداء</w:t>
      </w: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6"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رأی و تصريح باسم بهيچوجه جائز نه."</w:t>
      </w:r>
    </w:p>
    <w:p w14:paraId="493333CF" w14:textId="77777777" w:rsidR="007435C8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575986" w14:textId="77777777" w:rsidR="007435C8" w:rsidRPr="00B97C29" w:rsidRDefault="007435C8" w:rsidP="007435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برای اطّلاع بيشتری بالواح و آثار مبارکه مراجعه 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1AD2" w14:textId="77777777" w:rsidR="0078362C" w:rsidRDefault="0078362C">
      <w:r>
        <w:separator/>
      </w:r>
    </w:p>
  </w:endnote>
  <w:endnote w:type="continuationSeparator" w:id="0">
    <w:p w14:paraId="06600E5F" w14:textId="77777777" w:rsidR="0078362C" w:rsidRDefault="007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5630" w14:textId="77777777" w:rsidR="0078362C" w:rsidRDefault="0078362C">
      <w:r>
        <w:separator/>
      </w:r>
    </w:p>
  </w:footnote>
  <w:footnote w:type="continuationSeparator" w:id="0">
    <w:p w14:paraId="63AF179A" w14:textId="77777777" w:rsidR="0078362C" w:rsidRDefault="0078362C">
      <w:r>
        <w:continuationSeparator/>
      </w:r>
    </w:p>
  </w:footnote>
  <w:footnote w:id="1">
    <w:p w14:paraId="4E1254E7" w14:textId="77777777" w:rsidR="007435C8" w:rsidRPr="00590FE3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تفتين: فتنه‌انگيزی  </w:t>
      </w:r>
      <w:r w:rsidRPr="00590F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04FF8FC" w14:textId="77777777" w:rsidR="007435C8" w:rsidRPr="00ED25AE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وخيم: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>بد عاقبت</w:t>
      </w:r>
      <w:r w:rsidRPr="00590FE3"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070FB7F0" w14:textId="77777777" w:rsidR="007435C8" w:rsidRPr="00590FE3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خطير: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>پر اهمّيّت و سخت</w:t>
      </w:r>
    </w:p>
  </w:footnote>
  <w:footnote w:id="4">
    <w:p w14:paraId="0110243E" w14:textId="77777777" w:rsidR="007435C8" w:rsidRPr="00590FE3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مکاره: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اعمال زشت  </w:t>
      </w:r>
      <w:r w:rsidRPr="00590F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5">
    <w:p w14:paraId="634B1EE3" w14:textId="77777777" w:rsidR="007435C8" w:rsidRPr="00ED25AE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مکتوم: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>پوشيده و پنهان</w:t>
      </w:r>
    </w:p>
  </w:footnote>
  <w:footnote w:id="6">
    <w:p w14:paraId="53ECC56E" w14:textId="77777777" w:rsidR="007435C8" w:rsidRPr="00590FE3" w:rsidRDefault="007435C8" w:rsidP="007435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90F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90F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90F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 xml:space="preserve">ابداء: </w:t>
      </w:r>
      <w:r w:rsidRPr="00590FE3">
        <w:rPr>
          <w:rFonts w:ascii="Naskh MT for Bosch School" w:hAnsi="Naskh MT for Bosch School" w:cs="Naskh MT for Bosch School"/>
          <w:sz w:val="24"/>
          <w:szCs w:val="24"/>
          <w:rtl/>
        </w:rPr>
        <w:t>آشکار کردن</w:t>
      </w:r>
      <w:r w:rsidRPr="00590F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435C8"/>
    <w:rsid w:val="007822DB"/>
    <w:rsid w:val="0078362C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435C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5C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74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2023-10-08T02:48:00Z</dcterms:modified>
  <dc:language>en-US</dc:language>
</cp:coreProperties>
</file>