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4F03" w14:textId="77777777" w:rsidR="001F7410" w:rsidRPr="001F7410" w:rsidRDefault="001F7410" w:rsidP="001F7410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741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ششم</w:t>
      </w:r>
    </w:p>
    <w:p w14:paraId="0D69F7D7" w14:textId="77777777" w:rsidR="001F7410" w:rsidRPr="008E1ACD" w:rsidRDefault="001F7410" w:rsidP="001F7410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F741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تأکيد شستن پا در تابستان هر روز و در زمستان هر سه روز يکمرتبه</w:t>
      </w:r>
    </w:p>
    <w:p w14:paraId="3555AD1A" w14:textId="77777777" w:rsidR="001F7410" w:rsidRDefault="001F7410" w:rsidP="001F74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2DE888D" w14:textId="77777777" w:rsidR="001F7410" w:rsidRPr="00253C85" w:rsidRDefault="001F7410" w:rsidP="001F74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53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نازل:</w:t>
      </w:r>
    </w:p>
    <w:p w14:paraId="1E29555A" w14:textId="77777777" w:rsidR="001F7410" w:rsidRPr="00B97C29" w:rsidRDefault="001F7410" w:rsidP="001F74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"اغسلوا ارجلکم کلّ يوم فی الصّيف و فی الشّتاء کلّ ثلثة ايّام مرّة واحدة." (بند ۱۵۲)</w:t>
      </w:r>
    </w:p>
    <w:p w14:paraId="32BC2627" w14:textId="77777777" w:rsidR="001F7410" w:rsidRDefault="001F7410" w:rsidP="001F74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7107271" w14:textId="77777777" w:rsidR="001F7410" w:rsidRPr="00253C85" w:rsidRDefault="001F7410" w:rsidP="001F74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53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رساله سؤال و جواب نازل:</w:t>
      </w:r>
    </w:p>
    <w:p w14:paraId="4D0355CE" w14:textId="77777777" w:rsidR="001F7410" w:rsidRPr="00B97C29" w:rsidRDefault="001F7410" w:rsidP="001F74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در تغسيل رجل در شتا و صيف</w:t>
      </w:r>
      <w:r w:rsidRPr="008A4F0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13FFAA50" w14:textId="77777777" w:rsidR="001F7410" w:rsidRPr="00B97C29" w:rsidRDefault="001F7410" w:rsidP="001F74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يک حکم دارد در هر دو آب فاتر</w:t>
      </w:r>
      <w:r w:rsidRPr="008A4F0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8A4F0B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ارجح است و در استعمال آب بارد هم بأسی نه." </w:t>
      </w:r>
    </w:p>
    <w:p w14:paraId="523576CF" w14:textId="77777777" w:rsidR="001F7410" w:rsidRDefault="001F7410" w:rsidP="001F74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81BC26E" w14:textId="77777777" w:rsidR="001F7410" w:rsidRPr="00253C85" w:rsidRDefault="001F7410" w:rsidP="001F74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53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اسم جود نازل قوله تعالی:</w:t>
      </w:r>
    </w:p>
    <w:p w14:paraId="0BFEF0FF" w14:textId="77777777" w:rsidR="001F7410" w:rsidRPr="00B97C29" w:rsidRDefault="001F7410" w:rsidP="001F74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"يا اسم الجود عليک بهائی مکتوب جناب ملّا علی</w:t>
      </w:r>
      <w:r w:rsidRPr="008A4F0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3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عليه بهائی ملاحظه شد جواب باو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بنويسيد و از جانب مظلوم اظهار عنايت بکنيد بايشان و ساير اهل ديار دو مطلب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سؤال نموده اوّل تغسيل رجل شتا و صيف يک حکم دارد در هر دو  فاتر ارجح است و در استعمال بارد هم بأسی نه."</w:t>
      </w:r>
      <w:r w:rsidRPr="008A4F0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4"/>
      </w:r>
      <w:r w:rsidRPr="008A4F0B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( آب فاتر را در اصطلاح عموم شير گرم گويند.)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D324" w14:textId="77777777" w:rsidR="00E537A8" w:rsidRDefault="00E537A8">
      <w:r>
        <w:separator/>
      </w:r>
    </w:p>
  </w:endnote>
  <w:endnote w:type="continuationSeparator" w:id="0">
    <w:p w14:paraId="7BF1F06A" w14:textId="77777777" w:rsidR="00E537A8" w:rsidRDefault="00E5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0DA5" w14:textId="77777777" w:rsidR="00E537A8" w:rsidRDefault="00E537A8">
      <w:r>
        <w:separator/>
      </w:r>
    </w:p>
  </w:footnote>
  <w:footnote w:type="continuationSeparator" w:id="0">
    <w:p w14:paraId="7A4402E4" w14:textId="77777777" w:rsidR="00E537A8" w:rsidRDefault="00E537A8">
      <w:r>
        <w:continuationSeparator/>
      </w:r>
    </w:p>
  </w:footnote>
  <w:footnote w:id="1">
    <w:p w14:paraId="4E7023DA" w14:textId="77777777" w:rsidR="001F7410" w:rsidRPr="00562FBD" w:rsidRDefault="001F7410" w:rsidP="001F7410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562FB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562FB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562FB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>در تغسيل رجل در شتا و صيف: شستن پا در زمستان و تابستان</w:t>
      </w:r>
      <w:r w:rsidRPr="00562FBD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3F1C4B65" w14:textId="77777777" w:rsidR="001F7410" w:rsidRPr="00562FBD" w:rsidRDefault="001F7410" w:rsidP="001F7410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562FB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562FB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562FB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 xml:space="preserve">فاتر: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 xml:space="preserve">شير گرم نه داغ و نه سرد حدّ وسط  </w:t>
      </w:r>
      <w:r w:rsidRPr="00562FBD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3">
    <w:p w14:paraId="3B853C6E" w14:textId="77777777" w:rsidR="001F7410" w:rsidRPr="00562FBD" w:rsidRDefault="001F7410" w:rsidP="001F7410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562FB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562FB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562FB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 xml:space="preserve">مقصود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 xml:space="preserve">ملاّ علی بجستانی است که از قدمای احبّا بود مرحوم سيّد مهدی گلپايگانی در تاريخ صعود مشار اليه فرموده:  بود باقی دو روز از شعبان </w:t>
      </w:r>
      <w:r>
        <w:rPr>
          <w:rFonts w:ascii="Naskh MT for Bosch School" w:hAnsi="Naskh MT for Bosch School" w:cs="Naskh MT for Bosch School" w:hint="cs"/>
          <w:sz w:val="24"/>
          <w:szCs w:val="24"/>
          <w:rtl/>
        </w:rPr>
        <w:t>ا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>ز اتّفاق قضا و اسبابا  الی قوله فسئلت النهی عن التاريخ    قال لی نيّر الهدی غابا ( ١٣١۴ هجری قمری )</w:t>
      </w:r>
      <w:r w:rsidRPr="00562FBD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4">
    <w:p w14:paraId="016C2088" w14:textId="77777777" w:rsidR="001F7410" w:rsidRPr="00ED25AE" w:rsidRDefault="001F7410" w:rsidP="001F7410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562FB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562FB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562FB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 xml:space="preserve">کر: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>که در رساله سؤال و جواب نازل شده عبارت از ظرف مکعّبی است که هر يک از ابعاد ثلاثه‌اش سه وجب و نيم بوجب شخص مستوی الخلقه باشد و حاصل ضرب ابعادش در</w:t>
      </w:r>
      <w:r w:rsidRPr="00562FBD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>يکديگر بالغ بر ٨/٧ ۴٢ وجب است. چنين ظرفی را که پر از آب کنند آنمقدار آبرا در عرف و اصطلاح فقهای اسلام کر مينامند و در کتب فقهيّه احکام و مساحت آن مذکور شده است.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F7410"/>
    <w:rsid w:val="00514B2C"/>
    <w:rsid w:val="006C0A81"/>
    <w:rsid w:val="007822DB"/>
    <w:rsid w:val="00A82770"/>
    <w:rsid w:val="00D13E64"/>
    <w:rsid w:val="00D8588E"/>
    <w:rsid w:val="00DF4555"/>
    <w:rsid w:val="00E5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1F7410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7410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1F7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2023-10-08T17:04:00Z</dcterms:modified>
  <dc:language>en-US</dc:language>
</cp:coreProperties>
</file>