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EF8" w14:textId="77777777" w:rsidR="003215B2" w:rsidRPr="00BD47A0" w:rsidRDefault="003215B2" w:rsidP="003215B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چهارم</w:t>
      </w:r>
    </w:p>
    <w:p w14:paraId="3D3CF0BF" w14:textId="77777777" w:rsidR="003215B2" w:rsidRPr="008E1ACD" w:rsidRDefault="003215B2" w:rsidP="003215B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دو برابر شدن حقوق ذرّيّه بصرف فضل است نه آنکه</w:t>
      </w:r>
    </w:p>
    <w:p w14:paraId="65ECA481" w14:textId="77777777" w:rsidR="003215B2" w:rsidRDefault="003215B2" w:rsidP="003215B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26FCFE4" w14:textId="77777777" w:rsidR="003215B2" w:rsidRPr="00CB1A0B" w:rsidRDefault="003215B2" w:rsidP="003215B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تغيير حکم ارث کتاب بيان باشد. زيرا حکم ارث نازل در کتاب بيان چون بعدد طاء</w:t>
      </w:r>
      <w:r w:rsidRPr="00CB1A0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شروع ميشود که قسمت ذرّيّه است و اين عدد با عدد اسم اعظم تبارک و تعالی مطابق</w:t>
      </w:r>
      <w:r w:rsidRPr="00CB1A0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از اين جهت در اينظهور مبارک حکم بيان در تقسيم ارث بحال خود باقی و دو برابر شدن  حقوق ذرّيّه در اينظهور مبارک بصرف فضل الهی است نه آنکه تغيير حکم بيان باشد .قوله تعالی در کتاب مستطاب اقدس:</w:t>
      </w:r>
    </w:p>
    <w:p w14:paraId="56872E4D" w14:textId="77777777" w:rsidR="003215B2" w:rsidRPr="00B97C29" w:rsidRDefault="003215B2" w:rsidP="003215B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"قل هذا لهو العلم المکنون الّذی لن يتغيّر لأنّه بدء بالطّآء المدلّة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علی الأسم المخزون الظّاهر الممتنع المنيع. و ما خصّصناه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للذّرّيّات هذا من فضل اللّه عليهم ليشکروا ربّهم الرّحمن الرّحيم." (بند ۲۹)</w:t>
      </w:r>
    </w:p>
    <w:p w14:paraId="1B081CF6" w14:textId="77777777" w:rsidR="003215B2" w:rsidRDefault="003215B2" w:rsidP="003215B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4BCCCE" w14:textId="77777777" w:rsidR="003215B2" w:rsidRPr="000C19FD" w:rsidRDefault="003215B2" w:rsidP="003215B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73FCC097" w14:textId="77777777" w:rsidR="003215B2" w:rsidRPr="00B97C29" w:rsidRDefault="003215B2" w:rsidP="003215B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ارث</w:t>
      </w:r>
    </w:p>
    <w:p w14:paraId="4275652E" w14:textId="77777777" w:rsidR="003215B2" w:rsidRPr="00B97C29" w:rsidRDefault="003215B2" w:rsidP="003215B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در باب ارث آنچه نقطه اولی روح ما سواه فداه بآن امر فرموده‌اند همان محبوبست آنچه از اولو القسمه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موجودند  قسّموا بينهم اموالهم .... " الخ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E4A0" w14:textId="77777777" w:rsidR="00074105" w:rsidRDefault="00074105">
      <w:r>
        <w:separator/>
      </w:r>
    </w:p>
  </w:endnote>
  <w:endnote w:type="continuationSeparator" w:id="0">
    <w:p w14:paraId="552BA5B4" w14:textId="77777777" w:rsidR="00074105" w:rsidRDefault="000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9E33" w14:textId="77777777" w:rsidR="00074105" w:rsidRDefault="00074105">
      <w:r>
        <w:separator/>
      </w:r>
    </w:p>
  </w:footnote>
  <w:footnote w:type="continuationSeparator" w:id="0">
    <w:p w14:paraId="5F857866" w14:textId="77777777" w:rsidR="00074105" w:rsidRDefault="00074105">
      <w:r>
        <w:continuationSeparator/>
      </w:r>
    </w:p>
  </w:footnote>
  <w:footnote w:id="1">
    <w:p w14:paraId="2CB76729" w14:textId="77777777" w:rsidR="003215B2" w:rsidRPr="00320311" w:rsidRDefault="003215B2" w:rsidP="003215B2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32031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2031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2031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20311">
        <w:rPr>
          <w:rFonts w:ascii="Naskh MT for Bosch School" w:hAnsi="Naskh MT for Bosch School" w:cs="Naskh MT for Bosch School"/>
          <w:sz w:val="24"/>
          <w:szCs w:val="24"/>
          <w:rtl/>
        </w:rPr>
        <w:t xml:space="preserve">اولوالقسمة: صاحبان سهام  </w:t>
      </w:r>
      <w:r w:rsidRPr="0032031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4105"/>
    <w:rsid w:val="000D40D6"/>
    <w:rsid w:val="001017CE"/>
    <w:rsid w:val="003215B2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215B2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5B2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321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2023-10-08T17:22:00Z</dcterms:modified>
  <dc:language>en-US</dc:language>
</cp:coreProperties>
</file>