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C968" w14:textId="77777777" w:rsidR="00B37EE3" w:rsidRPr="000F44AE" w:rsidRDefault="00B37EE3" w:rsidP="00B37EE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پانزدهم</w:t>
      </w:r>
    </w:p>
    <w:p w14:paraId="5A808FAB" w14:textId="77777777" w:rsidR="00B37EE3" w:rsidRPr="000F44AE" w:rsidRDefault="00B37EE3" w:rsidP="00B37EE3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sz w:val="32"/>
          <w:szCs w:val="32"/>
          <w:rtl/>
        </w:rPr>
        <w:t>در ذکری که هنگام ظهور زلزله و خسوف و کسوف تلاوت می‌شود</w:t>
      </w:r>
    </w:p>
    <w:p w14:paraId="11147AC0" w14:textId="77777777" w:rsidR="00B37EE3" w:rsidRDefault="00B37EE3" w:rsidP="00B37EE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9B5D33E" w14:textId="77777777" w:rsidR="00B37EE3" w:rsidRPr="00F91990" w:rsidRDefault="00B37EE3" w:rsidP="00B37EE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2F75D3E8" w14:textId="77777777" w:rsidR="00B37EE3" w:rsidRPr="00B97C29" w:rsidRDefault="00B37EE3" w:rsidP="00B37E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عفونا عنکم صلوة الآيات اذا ظهرت اذکروا اللّه بالعظمة و الاقتدار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انّه هو السّميع البصير. قولوا العظمة للّه ربّ ما يری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ما لا يری ربّ العالمين." (بند ۱۱)</w:t>
      </w:r>
    </w:p>
    <w:p w14:paraId="564F31B6" w14:textId="77777777" w:rsidR="00B37EE3" w:rsidRDefault="00B37EE3" w:rsidP="00B37E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33096E" w14:textId="77777777" w:rsidR="00B37EE3" w:rsidRPr="00F91990" w:rsidRDefault="00B37EE3" w:rsidP="00B37EE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مذکور است:</w:t>
      </w:r>
    </w:p>
    <w:p w14:paraId="3BFD9388" w14:textId="77777777" w:rsidR="00B37EE3" w:rsidRPr="00B97C29" w:rsidRDefault="00B37EE3" w:rsidP="00B37E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ذکر که در عوض صلوة آيات نازل شده واجب است يا نه؟</w:t>
      </w:r>
    </w:p>
    <w:p w14:paraId="0A11A8B1" w14:textId="77777777" w:rsidR="00B37EE3" w:rsidRPr="00B97C29" w:rsidRDefault="00B37EE3" w:rsidP="00B37E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واجب نه."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1ADD" w14:textId="77777777" w:rsidR="0078765E" w:rsidRDefault="0078765E">
      <w:r>
        <w:separator/>
      </w:r>
    </w:p>
  </w:endnote>
  <w:endnote w:type="continuationSeparator" w:id="0">
    <w:p w14:paraId="3AADB889" w14:textId="77777777" w:rsidR="0078765E" w:rsidRDefault="0078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9875" w14:textId="77777777" w:rsidR="0078765E" w:rsidRDefault="0078765E">
      <w:r>
        <w:separator/>
      </w:r>
    </w:p>
  </w:footnote>
  <w:footnote w:type="continuationSeparator" w:id="0">
    <w:p w14:paraId="0D12B67D" w14:textId="77777777" w:rsidR="0078765E" w:rsidRDefault="0078765E">
      <w:r>
        <w:continuationSeparator/>
      </w:r>
    </w:p>
  </w:footnote>
  <w:footnote w:id="1">
    <w:p w14:paraId="6281516F" w14:textId="77777777" w:rsidR="00B37EE3" w:rsidRPr="00800DC2" w:rsidRDefault="00B37EE3" w:rsidP="00B37EE3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00DC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00DC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00DC2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00DC2">
        <w:rPr>
          <w:rFonts w:ascii="Naskh MT for Bosch School" w:hAnsi="Naskh MT for Bosch School" w:cs="Naskh MT for Bosch School"/>
          <w:sz w:val="24"/>
          <w:szCs w:val="24"/>
          <w:rtl/>
        </w:rPr>
        <w:t>اينحکم مبارک نسخ حکم اسلام است زيرا در اسلام صلوة آيات واجب بود که در حين ظهور زلزله و خسوف و کسوف و غيره که از آن بآيات آسمانی و زمينی يعنی علامات تعبير ميکردند در دو رکعت خوانده می‌شد. هر رکعت دارای پنج رکوع بود بشرحيکه در کتب فقه اسلاميّه مسطور است.</w:t>
      </w:r>
      <w:r w:rsidRPr="00800DC2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78765E"/>
    <w:rsid w:val="00A82770"/>
    <w:rsid w:val="00B37EE3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37EE3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EE3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B37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2023-10-08T19:18:00Z</dcterms:modified>
  <dc:language>en-US</dc:language>
</cp:coreProperties>
</file>