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46B1" w14:textId="77777777" w:rsidR="003603FA" w:rsidRPr="00952FE0" w:rsidRDefault="003603FA" w:rsidP="003603FA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چهاردهم</w:t>
      </w:r>
    </w:p>
    <w:p w14:paraId="38EFC7C6" w14:textId="77777777" w:rsidR="003603FA" w:rsidRPr="00952FE0" w:rsidRDefault="003603FA" w:rsidP="003603FA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sz w:val="32"/>
          <w:szCs w:val="32"/>
          <w:rtl/>
        </w:rPr>
        <w:t>در اينکه متعه ( ازدواج موقّت ) حرام است</w:t>
      </w:r>
    </w:p>
    <w:p w14:paraId="61CFB7BE" w14:textId="77777777" w:rsidR="003603FA" w:rsidRDefault="003603FA" w:rsidP="003603F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8C8D26E" w14:textId="77777777" w:rsidR="003603FA" w:rsidRPr="00B5254A" w:rsidRDefault="003603FA" w:rsidP="003603F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در لوح ميرزا مهدی اخوان الصّفا ميفرمايند قوله العزيز:</w:t>
      </w:r>
    </w:p>
    <w:p w14:paraId="4B3DC111" w14:textId="77777777" w:rsidR="003603FA" w:rsidRPr="00B97C29" w:rsidRDefault="003603FA" w:rsidP="003603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امّا الازدواج الموقّت حرّمه اللّه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هذا الکور المقدّس و منع النّفوس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عن الهوی حتّی يرتدوا برداء التّقوی و هو التّنزيه و التّقديس بين الملأ الأعلی."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697F" w14:textId="77777777" w:rsidR="00E36029" w:rsidRDefault="00E36029">
      <w:r>
        <w:separator/>
      </w:r>
    </w:p>
  </w:endnote>
  <w:endnote w:type="continuationSeparator" w:id="0">
    <w:p w14:paraId="60EE8F44" w14:textId="77777777" w:rsidR="00E36029" w:rsidRDefault="00E3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07C4" w14:textId="77777777" w:rsidR="00E36029" w:rsidRDefault="00E36029">
      <w:r>
        <w:separator/>
      </w:r>
    </w:p>
  </w:footnote>
  <w:footnote w:type="continuationSeparator" w:id="0">
    <w:p w14:paraId="312AEBFC" w14:textId="77777777" w:rsidR="00E36029" w:rsidRDefault="00E3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3603FA"/>
    <w:rsid w:val="00514B2C"/>
    <w:rsid w:val="006C0A81"/>
    <w:rsid w:val="007822DB"/>
    <w:rsid w:val="00A82770"/>
    <w:rsid w:val="00D13E64"/>
    <w:rsid w:val="00D8588E"/>
    <w:rsid w:val="00DF4555"/>
    <w:rsid w:val="00E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2023-10-08T19:27:00Z</dcterms:modified>
  <dc:language>en-US</dc:language>
</cp:coreProperties>
</file>