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6639" w14:textId="77777777" w:rsidR="00EA3792" w:rsidRPr="00EA3792" w:rsidRDefault="00EA3792" w:rsidP="00EA3792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EA3792">
        <w:rPr>
          <w:rFonts w:ascii="Naskh MT for Bosch School" w:hAnsi="Naskh MT for Bosch School" w:cs="Naskh MT for Bosch School"/>
          <w:rtl/>
        </w:rPr>
        <w:t>باب چهل و ششم</w:t>
      </w:r>
    </w:p>
    <w:p w14:paraId="68A5825B" w14:textId="77777777" w:rsidR="00EA3792" w:rsidRPr="00EA3792" w:rsidRDefault="00EA3792" w:rsidP="00EA3792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sz w:val="32"/>
          <w:szCs w:val="32"/>
          <w:rtl/>
        </w:rPr>
        <w:t>در نهی از سرقت و حدّ و جزای سارق</w:t>
      </w:r>
    </w:p>
    <w:p w14:paraId="3086BB3F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CA1FBA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الواح الهيّه بقدری تأکيد در امانت و اجتناب از تصرّف در اموال ناس نازل شده که بتقرير و تحرير نگنجد از جمله در لوح طرازات نازل قوله تعالی:</w:t>
      </w:r>
    </w:p>
    <w:p w14:paraId="542FF31E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sz w:val="32"/>
          <w:szCs w:val="32"/>
          <w:rtl/>
        </w:rPr>
        <w:t>"طراز چهارم فی الأمانة انّها باب الأطمينان لمن فی الأمکان و آية العزّة من لدی الرّحمن من فاز بها فاز بکنوز الثّروة و الغناء. امانت باب اعظم است از برای راحت و اطمينان خلق قوام هر امری از امور باو منوط بوده و هست. عوالم عزّت و رفعت و ثروت بنور آن روشن و منير. " الخ</w:t>
      </w:r>
    </w:p>
    <w:p w14:paraId="4E8EA9DA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16F5DF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يکی از الواح جمال نازل قوله تعالی:</w:t>
      </w:r>
    </w:p>
    <w:p w14:paraId="55E35882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sz w:val="32"/>
          <w:szCs w:val="32"/>
          <w:rtl/>
        </w:rPr>
        <w:t>"اگر امروز نفسی بطراز امانت فائز شوند عند اللّه احبّ است از عمل نفسيکه پياده بشطر اقدس توجّه نمايد و بلقای حضرت معبود در مقام محمود فائز گردد. امانت از برای مدينه انسانيّت بمثابه حصن است و از برای هيکل انسان بمنزله عين اگر نفسی از او محروم ماند در ساحت عرش نابينا و کور مسطور است اگر چه در حدّت بصر مانند زرقاء يمامه</w:t>
      </w:r>
      <w:r w:rsidRPr="00EA379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EA3792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باشد." </w:t>
      </w:r>
    </w:p>
    <w:p w14:paraId="31FB55D0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کريم نازل قوله تعالی:</w:t>
      </w:r>
    </w:p>
    <w:p w14:paraId="1217EB5A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sz w:val="32"/>
          <w:szCs w:val="32"/>
          <w:rtl/>
        </w:rPr>
        <w:t xml:space="preserve">"اگر احبّای الهی بطراز امانت و صدق و راستی مزيّن نباشند ضرّش بخود آن نفوس و جميع ناس راجع. اوّلا آن نفوس ابدا محلّ امانت کلمه الهيّه و اسرار مکنونه ربّانيّه نخواهند شد و ثانی سبب ضلالت و اعراض ناس بوده و خواهند بود و عن ورائها قهر اللّه و غضبه و عذاب اللّه و سخطه." (اقتدارات صفحه ١۶٨) </w:t>
      </w:r>
    </w:p>
    <w:p w14:paraId="3AAC868E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B2CB88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لوح حاجی آقا محمّد علاقه بند يزدی ميفرمايند قوله العزيز :</w:t>
      </w:r>
    </w:p>
    <w:p w14:paraId="7136E0FE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"امّا قضيّه امانت و ديانت فی‏الحقيقه در اين دور بديع اعظم برهان ايمان و ايقان است. در لوح امانت ملاحظه فرمائيد که از قلم اعلی صادر و از برای انتباه کلّ کفايت است اگر نفسی بجميع اعمال خيريّه قائم ولی در امانت و ديانت ذرّه‌ای قاصر اعمال خيريّه مانند سپند گردد و آن قصور آتش جانسوز شود ولی اگر در جميع امور قاصر لکن بامانت و ديانت قائم، عاقبت نواقص اکمال شود و زخم التيام يابد و درد درمان شود. مقصود آنست که امانت عند الحقّ اساس دين الهی است و بنياد جميع فضائل و مناقب است اگر نفسی از آن محروم ماند از جميع شئون محروم. با وجود قصور در امانت از ايمان و ديانت چه ثمری و چه اثری و چه نتيجه و چه فايده."   </w:t>
      </w:r>
    </w:p>
    <w:p w14:paraId="61626024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0F2643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sz w:val="32"/>
          <w:szCs w:val="32"/>
          <w:rtl/>
        </w:rPr>
        <w:t>از اين قبيل آيات بسيار در الواح نازل شده طوبی للعاملين.</w:t>
      </w:r>
    </w:p>
    <w:p w14:paraId="30D0DBAC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در کتاب مستطاب اقدس راجع بجزای سارق ميفرمايند قوله تعالی:</w:t>
      </w:r>
    </w:p>
    <w:p w14:paraId="5788220F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sz w:val="32"/>
          <w:szCs w:val="32"/>
          <w:rtl/>
        </w:rPr>
        <w:t>"قد کتب علی السّارق النّفي و الحبس و فی الثّالث فاجعلوا فی جبينه علامة يعرف بها لئلّا تقبله مدن اللّه و دياره ايّاکم ان تأخذکم الرأفة فی دين اللّه اعملوا ما امرتم به من لدن مشفق رحيم." (بند ۴۵)</w:t>
      </w:r>
    </w:p>
    <w:p w14:paraId="1C8F8BB8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9EFC565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تعيين مقادير حدّ سرقت با بيت العدلست چنانچه در رساله سؤال و جواب ميفرمايند:</w:t>
      </w:r>
    </w:p>
    <w:p w14:paraId="0E748C56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sz w:val="32"/>
          <w:szCs w:val="32"/>
          <w:rtl/>
        </w:rPr>
        <w:t>"سؤال  - از حدّ زنا و لواط و سارق و مقادير آن</w:t>
      </w:r>
    </w:p>
    <w:p w14:paraId="28386E26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sz w:val="32"/>
          <w:szCs w:val="32"/>
          <w:rtl/>
        </w:rPr>
        <w:t>جواب - تعيين مقادير حدّ به بيت العدل راجع است."</w:t>
      </w:r>
    </w:p>
    <w:p w14:paraId="17E67668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593C02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چون در اين باب ذکر امانت در ميانست اين مسئله را نيز بمناسبت در ذيل اين باب مندرج ميسازد که در رساله سؤال و جواب ميفرمايند:</w:t>
      </w:r>
    </w:p>
    <w:p w14:paraId="1D601CD4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sz w:val="32"/>
          <w:szCs w:val="32"/>
          <w:rtl/>
        </w:rPr>
        <w:t>"سؤال  - در باره تعويض و تبديل امانات از جنس بنقد و غيره حفظا عن التّضييع</w:t>
      </w:r>
    </w:p>
    <w:p w14:paraId="0B3EAD7C" w14:textId="77777777" w:rsidR="00EA3792" w:rsidRPr="00EA3792" w:rsidRDefault="00EA3792" w:rsidP="00EA379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A3792">
        <w:rPr>
          <w:rFonts w:ascii="Naskh MT for Bosch School" w:hAnsi="Naskh MT for Bosch School" w:cs="Naskh MT for Bosch School"/>
          <w:sz w:val="32"/>
          <w:szCs w:val="32"/>
          <w:rtl/>
        </w:rPr>
        <w:t>جواب - اينکه در باره امانات و تعويض آن حفظا عن التّضييع نوشتند در اين صورت تعويض جائز تعويضيکه معادل آنرا برساند. انّ ربّک هو المبيّن العليم و الآمر القديم."</w:t>
      </w:r>
    </w:p>
    <w:p w14:paraId="0E8B1D5F" w14:textId="77777777" w:rsidR="007822DB" w:rsidRPr="00EA3792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EA3792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6BBB" w14:textId="77777777" w:rsidR="00B3164A" w:rsidRDefault="00B3164A">
      <w:r>
        <w:separator/>
      </w:r>
    </w:p>
  </w:endnote>
  <w:endnote w:type="continuationSeparator" w:id="0">
    <w:p w14:paraId="3D00636B" w14:textId="77777777" w:rsidR="00B3164A" w:rsidRDefault="00B3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166F" w14:textId="77777777" w:rsidR="00B3164A" w:rsidRDefault="00B3164A">
      <w:r>
        <w:separator/>
      </w:r>
    </w:p>
  </w:footnote>
  <w:footnote w:type="continuationSeparator" w:id="0">
    <w:p w14:paraId="27EBF07C" w14:textId="77777777" w:rsidR="00B3164A" w:rsidRDefault="00B3164A">
      <w:r>
        <w:continuationSeparator/>
      </w:r>
    </w:p>
  </w:footnote>
  <w:footnote w:id="1">
    <w:p w14:paraId="7E9237EC" w14:textId="77777777" w:rsidR="00EA3792" w:rsidRPr="00732437" w:rsidRDefault="00EA3792" w:rsidP="00EA3792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  <w:lang w:bidi="ar-SA"/>
        </w:rPr>
      </w:pPr>
      <w:r w:rsidRPr="0073243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732437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732437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732437">
        <w:rPr>
          <w:rFonts w:ascii="Naskh MT for Bosch School" w:hAnsi="Naskh MT for Bosch School" w:cs="Naskh MT for Bosch School"/>
          <w:sz w:val="24"/>
          <w:szCs w:val="24"/>
          <w:rtl/>
        </w:rPr>
        <w:t>در نزد اعراب زرقاء يمامه به بينائی چشم ضرب المثل است و شرح آن در کتب ادبيّه مسطور. زرقاء زنی بوده از قبيله جدليس که گويند از مسافت سه روز راه ميديده است و در لوح قناع نيز ذکر او از قلم اعلی نازل شده است.</w:t>
      </w:r>
      <w:r w:rsidRPr="00732437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B3164A"/>
    <w:rsid w:val="00D13E64"/>
    <w:rsid w:val="00D8588E"/>
    <w:rsid w:val="00DF4555"/>
    <w:rsid w:val="00E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EA3792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3792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EA3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2023-10-08T21:34:00Z</dcterms:modified>
  <dc:language>en-US</dc:language>
</cp:coreProperties>
</file>