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أيّدنا يا إلهنا ومحبوبنا على السلوك في سبيلك وارتفاع أمرك بين العالمين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١٧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٤٦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