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ربّنا أيّدنا على نشر آثارك والسلوك في منهج رضائك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١٩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٤٨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