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bidi w:val="1"/>
        <w:ind w:left="1080" w:right="0" w:hanging="720"/>
        <w:jc w:val="center"/>
        <w:rPr>
          <w:rFonts w:ascii="Simplified Arabic" w:hAnsi="Simplified Arabic" w:cs="Simplified Arabic"/>
          <w:b/>
          <w:b/>
          <w:bCs/>
          <w:color w:val="FF0000"/>
          <w:sz w:val="48"/>
          <w:szCs w:val="48"/>
          <w:highlight w:val="lightGray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48"/>
          <w:sz w:val="48"/>
          <w:szCs w:val="48"/>
          <w:highlight w:val="lightGray"/>
          <w:rtl w:val="true"/>
          <w:lang w:bidi="fa-IR"/>
        </w:rPr>
        <w:t>وحدت عالم انسانی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Traditional Arabic"/>
          <w:b/>
          <w:b/>
          <w:bCs/>
          <w:color w:val="FF0000"/>
          <w:sz w:val="28"/>
          <w:szCs w:val="36"/>
          <w:highlight w:val="lightGray"/>
          <w:lang w:bidi="fa-IR"/>
        </w:rPr>
      </w:pPr>
      <w:r>
        <w:rPr>
          <w:rFonts w:cs="Traditional Arabic" w:ascii="Simplified Arabic" w:hAnsi="Simplified Arabic"/>
          <w:b/>
          <w:bCs/>
          <w:color w:val="FF0000"/>
          <w:sz w:val="28"/>
          <w:szCs w:val="36"/>
          <w:highlight w:val="lightGray"/>
          <w:rtl w:val="true"/>
          <w:lang w:bidi="fa-IR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نگذاشته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رزق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پروراند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نگذاشته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مبعوث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فرستاده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موانع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مذمّت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تشويق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انبيای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مبعوث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تعاليمشان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حقيقت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بندگان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خداوندند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يزدان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خداوندند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چوپان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چوپان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گوسفندان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بياورند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همراه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ناقص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شفا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44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Traditional Arabic"/>
          <w:sz w:val="28"/>
          <w:szCs w:val="36"/>
          <w:lang w:bidi="fa-IR"/>
        </w:rPr>
      </w:pPr>
      <w:r>
        <w:rPr>
          <w:rFonts w:cs="Traditional Arabic" w:ascii="Simplified Arabic" w:hAnsi="Simplified Arabic"/>
          <w:sz w:val="28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وحدت عالم انسانی اس اساس و مقصود اصلی جمیع ظهورات الهی میباشد  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lightGray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highlight w:val="lightGray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ماضيّه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مرتبطند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کره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ماضيه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دانشمندی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وهميّه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بزوال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اميدواريم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بشری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پیام ملکوت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51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lightGray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highlight w:val="lightGray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مهيّا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چراغ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بلوری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مهيّا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فتيله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مهيّا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ميخواهيم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اوطان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رابطهء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تجارتی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مادّيّه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 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بحدودی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نيست؟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54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lightGray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36"/>
          <w:szCs w:val="36"/>
          <w:highlight w:val="lightGray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مقصود از وحدت عالم انسانی وحدت در کثرت است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highlight w:val="yellow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خاندان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بحسب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مناطق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ممالک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حارّه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احقاب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 اسود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مناطق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منطقهء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متوسّطه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ابتعاد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سبحان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طبيعت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بتمامه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اهمّيّتی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نميدهد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کبوتران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اهمّيّت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بهائم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عجيب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مايهء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سفيد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بگلستان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آئيم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رنگارنگ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رنگارنگ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گردد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56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right"/>
      <w:pPr>
        <w:ind w:left="1080" w:hanging="720"/>
      </w:pPr>
      <w:rPr/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