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ar-JO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ar-JO"/>
        </w:rPr>
        <w:t>3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ar-JO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ar-JO"/>
        </w:rPr>
        <w:t>دین باید سبب الفت و محبت باشد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مذهب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سمآء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عطيّه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کأس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سرمديّه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دارد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اشراقات، اشراق نهم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مذهب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مذاهب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متعدّده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راههای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بمصالح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اعصار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بوده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176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Traditional Arabic"/>
          <w:sz w:val="28"/>
          <w:szCs w:val="36"/>
          <w:lang w:bidi="ar-JO"/>
        </w:rPr>
      </w:pPr>
      <w:r>
        <w:rPr>
          <w:rFonts w:cs="Traditional Arabic" w:ascii="Simplified Arabic" w:hAnsi="Simplified Arabic"/>
          <w:sz w:val="28"/>
          <w:szCs w:val="36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افسوس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بظلمت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مخلوط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پيغمبری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ميشمارند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61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مطالعه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69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PlainText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شريعت اللّه يکی است و دين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</w:p>
    <w:p>
      <w:pPr>
        <w:pStyle w:val="PlainText"/>
        <w:bidi w:val="1"/>
        <w:ind w:left="0" w:right="0" w:firstLine="720"/>
        <w:jc w:val="left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خطابات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اساس اديان الهيه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ربوبيت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خطابات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PlainText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</w:rPr>
      </w:r>
    </w:p>
    <w:p>
      <w:pPr>
        <w:pStyle w:val="PlainText"/>
        <w:numPr>
          <w:ilvl w:val="0"/>
          <w:numId w:val="4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دين الهی است دين الهی روح عالم امکانست امکان باو نورانيست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</w:p>
    <w:p>
      <w:pPr>
        <w:pStyle w:val="PlainText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خطابات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36"/>
        </w:rPr>
      </w:pPr>
      <w:r>
        <w:rPr>
          <w:rFonts w:cs="Traditional Arabic" w:ascii="Naskh MT for Bosch School" w:hAnsi="Naskh MT for Bosch School"/>
          <w:color w:val="FF0000"/>
          <w:sz w:val="28"/>
          <w:szCs w:val="36"/>
          <w:rtl w:val="true"/>
        </w:rPr>
      </w:r>
    </w:p>
    <w:p>
      <w:pPr>
        <w:pStyle w:val="PlainText"/>
        <w:numPr>
          <w:ilvl w:val="0"/>
          <w:numId w:val="4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دين اساس الفت و محبت است و بنيان ارتباط و وحدت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دين اگر سبب عداوت گردد الفت نبخشد بلکه مورث کلفت گردد و عدم دين به از وجود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مرجح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آن </w:t>
      </w:r>
    </w:p>
    <w:p>
      <w:pPr>
        <w:pStyle w:val="PlainText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خطابات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