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6"/>
          <w:szCs w:val="5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lang w:bidi="fa-IR"/>
        </w:rPr>
        <w:t>4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fa-IR"/>
        </w:rPr>
        <w:t xml:space="preserve">وحدت اصولی جمیع ادیان 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 xml:space="preserve">: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fa-IR"/>
        </w:rPr>
        <w:t>اساس ادیان الهی یکی است و آن وحدت و بگاننی بشر است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numPr>
          <w:ilvl w:val="0"/>
          <w:numId w:val="3"/>
        </w:numPr>
        <w:bidi w:val="1"/>
        <w:ind w:left="720" w:right="0" w:hanging="360"/>
        <w:jc w:val="left"/>
        <w:rPr>
          <w:rFonts w:ascii="Naskh MT for Bosch School" w:hAnsi="Naskh MT for Bosch School" w:cs="Traditional Arabic"/>
          <w:sz w:val="28"/>
          <w:szCs w:val="36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شريعت اللّه يکی است و دين اللّه يکی و آن الفت و محبت است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حضرت بهاء اللّه تجديد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خطابات، لندن، ص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PlainText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اساس دين الهی يکی است شريعة اللّه يکی است جميع انبياء برای نشر آن مبعوث شدند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لهذا هر ملتی بموجب نصائح الهی عمل نمود بحقيقت رسيد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تعاليم الهی يکی است بنيان محبت اللّه يکی است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خطابات، لندن، ص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SA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خونريزی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دقّت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تقاليدی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تعدّد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ندارد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158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مذاهب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معتقد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بوحدانيّت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واسطه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اسرائيليان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واسطه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مسيحيان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عيسی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مسلمانان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محمّد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فارسيان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برداری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 مقصدشان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شريعتی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تجدّد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ظهورمظهر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رموز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((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))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بتقاليد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باوهام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افتادند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متشابهات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وسيلهء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البيّنات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نمودند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166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