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6"/>
          <w:szCs w:val="5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lang w:bidi="fa-IR"/>
        </w:rPr>
        <w:t>6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 xml:space="preserve">)  </w:t>
      </w:r>
      <w:r>
        <w:rPr>
          <w:rFonts w:ascii="Simplified Arabic" w:hAnsi="Simplified Arabic" w:cs="Simplified Arabic"/>
          <w:b/>
          <w:b/>
          <w:bCs/>
          <w:color w:val="FF0000"/>
          <w:sz w:val="56"/>
          <w:sz w:val="56"/>
          <w:szCs w:val="56"/>
          <w:highlight w:val="lightGray"/>
          <w:rtl w:val="true"/>
          <w:lang w:bidi="fa-IR"/>
        </w:rPr>
        <w:t>انتخاب خط و لسان بین الملی جهت ایجاد وحدت عالم انسانی میباشد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منوّر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دانستن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یگراست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نمودیم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امنای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السن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موجوده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بدیع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خطوط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اختیار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نمایند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تعلیم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قطعه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شود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اشراقات، اشراق ششم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خطوط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عمرهای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السن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ضايع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باطل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مدينه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قطعه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شود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کلمات فردوسیه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مضمون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اقوام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طوائف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ائتلاف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معاملات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بلسانهای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بتواند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مستحيل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آکاديمی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هشتصد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معيّن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اينصورت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محاوره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ثالث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مترجم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مصاحبت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اسپرانتو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 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تأمين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 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انجمنی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بيارايند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معاونت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منتخب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تعميم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انجمنی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تصديق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اتمام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آلمان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فرانسه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تفاوتيست؟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تنطّق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اسپرانتو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باشيد،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انشاءالله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گشت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مشروع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اطّلاع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ميتواند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ماضيّه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مطّلع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سهولت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موجوده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السن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مباشرت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ترکستان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عربستان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انگليسی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مباشرت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صغر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مملکتی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 بتحصيل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قطعات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بتواند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ميخواهد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مشقّت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خلاصه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تلميذ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صحيح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بتفهيم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بآسانی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39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آکادمی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کنگرهء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المللی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وکلاء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صحبت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رسماً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است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126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