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fa-IR"/>
        </w:rPr>
        <w:t>8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) 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>تعدیل معیشت و حل مشکلات اقتصادی توسط موازین روحانی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نظاماتی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بانواع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موائد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آشيانه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گرسنه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هفتم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مستثنائی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مساوی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126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cs="Traditional Arabic"/>
          <w:sz w:val="28"/>
          <w:szCs w:val="36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سوراخی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انواع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طعام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اقتضا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درجهء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درجهء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متوسّط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درجهء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اردوئی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منصب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134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cs="Traditional Arabic"/>
          <w:sz w:val="28"/>
          <w:szCs w:val="36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 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وسعت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رفاهيّت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بفقر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مبتلا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نگذارد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مراعات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134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اقتصادی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مفصّله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درجواب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کوشيد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قواعدی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اينخصوص 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اجتماعيّه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اجتماعيّه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اردوئی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جنرال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اجزاء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بزرگ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کوچک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آقا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خانم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نظامی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آقا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انصافی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آقا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(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)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: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بمقتضای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بتدريج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ميتوان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رنجبران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بانقلاب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شود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138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اقتصادی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رنجبران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: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اساسيّهء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 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معتدلانه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متهوّرانه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التيام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اشتراک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معتدلانه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درجات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پادشاه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اسپارته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سلطنتش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اسکندر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يونانی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اسپارته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قديمه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زرّاع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يونانی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فنيکيان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لوکورکوس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پادشاه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بگذارد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عادلانه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قديمه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زرّاع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مکلّف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مکلّف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بدادن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مکلّف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سنوی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مکلّف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طبقهء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مناصب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دفاع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وظيفهء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اراضی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اسپارته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بالتّساوی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تقسيم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اراضی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تقسيم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آمد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بانجام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رسانيد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ميخواهم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بسوريا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ميترسم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بزنيد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آمدن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نزنيد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مؤکّد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پادشاه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مراجعت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آمد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بماند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اشتراکيّه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نگذشت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مستحيل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مجبوراً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مجبوری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فائده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بگوئيم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بگيرند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نميرسد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آدمی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پنجاه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فابريقه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يکماه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برآورده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اعتصاب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انتهائی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بگوئيم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زرّاع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زراعت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زراعت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ميگيرند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 ساخته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آنجا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زرّاعی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خوراک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آورده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عاجزی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پنجاه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پانصد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کيلو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مصارفات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اشتراکيّون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باعتصاب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مزدوران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مجلسی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پارلمانهای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منتخب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 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تأمينات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برضايت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 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اعتصابی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بالتّمام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بخرابيهای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معرکه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معدن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فابريقه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معادن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فابريقه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معتدلانه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بعملجات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نصيبی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عموميّهء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کارخانه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احتکار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احتکار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فابريقه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 سهم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منفعت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مصارفات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اسهام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تقسيم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بعوام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باوضاع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اعتصاب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آخرالامر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اعتصابی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عسکر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عثمانی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بحکومت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مجبوراً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دوباره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اعتصاب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عسکر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زيادتر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نکردی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بگيريم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زندگی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اينخصوص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اعتصاب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خرابی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قانونی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بقانون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طلبيد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باعتصاب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138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