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44"/>
          <w:szCs w:val="44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lang w:bidi="fa-IR"/>
        </w:rPr>
        <w:t>13</w:t>
      </w:r>
      <w:r>
        <w:rPr>
          <w:rFonts w:cs="Simplified Arabic" w:ascii="Simplified Arabic" w:hAnsi="Simplified Arabic"/>
          <w:b/>
          <w:bCs/>
          <w:color w:val="FF0000"/>
          <w:sz w:val="44"/>
          <w:szCs w:val="44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اهمیت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مشورت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و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44"/>
          <w:sz w:val="44"/>
          <w:szCs w:val="44"/>
          <w:highlight w:val="lightGray"/>
          <w:rtl w:val="true"/>
          <w:lang w:bidi="fa-IR"/>
        </w:rPr>
        <w:t>لزوم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اهمیت و لزوم مشورت در جمیع امور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آسمان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شفقت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متمسّک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هدايت،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آگاهی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عطا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کند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آراء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متعدّده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کثيره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قوّت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درگاه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مأمور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گرفته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شخصی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تحرّی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کشف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واضح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آشکار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مافوق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بجهت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طريق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صواب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نمودار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اصناف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تجّار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تجاريّه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خلاصه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برأی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مشاوره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مباشرت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تمشيت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غصّه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خوريد،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محتاج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مگذاريد،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معاونت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متّفقاً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متّحداً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کنيد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color w:val="FF0000"/>
          <w:sz w:val="24"/>
          <w:szCs w:val="24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نمائيد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طلبيد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صريحه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کتابست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عبدالبهاء، لوح احباء کاشان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جزئی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موافق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اطّلاع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يابد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تبصّر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تعمّق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مجهول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رخ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طالع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مَعينِ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چمنستان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حقيقت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قديمه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بتابد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سِدره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باثمار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بديعه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مزّين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اصول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اساس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عاديه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نمايند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لوح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227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قضيّه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وسائط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سعادت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حيران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کسبی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محفلی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بيارايند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تدبيری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عموميّه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عسرتی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مجتمع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تدبيری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توکّل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تسليم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تقدير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جلوه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شبهه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دستگيری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قطعيّه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است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عبدالبهاء، لوح احباء اسد آباد همدان،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228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36"/>
          <w:szCs w:val="36"/>
          <w:highlight w:val="yellow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 xml:space="preserve">لزوم تشکیل محفل شور و بیت عدل در هر شهر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مدينة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يجعلوا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ويجتمع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البهآء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بأس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كأنّهم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يدخلون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محضر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يرى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وينبغي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يكونوا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أمنآء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الإمكان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ووكلآء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كلّها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ويشاوروا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لوجه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يشاورون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أمورهم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ويختاروا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العزيز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الغفّار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  <w:highlight w:val="yellow"/>
          <w:lang w:bidi="ar-JO"/>
        </w:rPr>
      </w:pPr>
      <w:r>
        <w:rPr>
          <w:rFonts w:eastAsia="Simplified Arabic" w:cs="Simplified Arabic" w:ascii="Simplified Arabic" w:hAnsi="Simplified Arabic"/>
          <w:sz w:val="28"/>
          <w:szCs w:val="28"/>
          <w:rtl w:val="true"/>
          <w:lang w:bidi="ar-JO"/>
        </w:rPr>
        <w:t xml:space="preserve">       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30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اینجا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فرمایند،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مدینه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تأسیس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تشکیلات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جمیع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بیوت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خصوصی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محافل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دارد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تقریرات در باره کتاب مستطاب اقدس،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84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Naskh MT for Bosch School"/>
          <w:sz w:val="28"/>
          <w:szCs w:val="28"/>
          <w:lang w:bidi="ar-JO"/>
        </w:rPr>
      </w:pPr>
      <w:r>
        <w:rPr>
          <w:rFonts w:cs="Naskh MT for Bosch School" w:ascii="Simplified Arabic" w:hAnsi="Simplified Arabic"/>
          <w:sz w:val="28"/>
          <w:szCs w:val="28"/>
          <w:rtl w:val="true"/>
          <w:lang w:bidi="ar-JO"/>
        </w:rPr>
      </w:r>
    </w:p>
    <w:p>
      <w:pPr>
        <w:pStyle w:val="Normal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  <w:lang w:bidi="ar-JO"/>
        </w:rPr>
        <w:t>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کتب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مدینة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یجعلوا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خدواند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شهری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قرار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انتخاب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بشود</w:t>
      </w:r>
      <w:r>
        <w:rPr>
          <w:rFonts w:cs="Simplified Arabic" w:ascii="Simplified Arabic" w:hAnsi="Simplified Arabic"/>
          <w:sz w:val="28"/>
          <w:szCs w:val="28"/>
          <w:rtl w:val="true"/>
        </w:rPr>
        <w:t>. 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یجتمع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فیه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النّفوس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عددالبهاء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،حدّ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نفر</w:t>
      </w:r>
      <w:r>
        <w:rPr>
          <w:rFonts w:cs="Simplified Arabic" w:ascii="Simplified Arabic" w:hAnsi="Simplified Arabic"/>
          <w:sz w:val="28"/>
          <w:szCs w:val="28"/>
          <w:rtl w:val="true"/>
        </w:rPr>
        <w:t>. 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لابأس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زیادتر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اهمیّتی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ندارد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کجا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آینده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زیاد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تعداد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زیاد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تشخیصش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ابلاغ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فرمایند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اشخاص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بکنند،</w:t>
      </w:r>
      <w:r>
        <w:rPr>
          <w:rFonts w:cs="Simplified Arabic" w:ascii="Simplified Arabic" w:hAnsi="Simplified Arabic"/>
          <w:sz w:val="28"/>
          <w:szCs w:val="28"/>
          <w:rtl w:val="true"/>
        </w:rPr>
        <w:t>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کانّهم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یدخلون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محضراللّه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العلیّ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الاعلی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محلّی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تشکیل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محلّ 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محفل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حاضرند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مشرّف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cs="Simplified Arabic" w:ascii="Simplified Arabic" w:hAnsi="Simplified Arabic"/>
          <w:sz w:val="28"/>
          <w:szCs w:val="28"/>
          <w:rtl w:val="true"/>
        </w:rPr>
        <w:t>. 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یرون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لایری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دیده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لازم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برگزیدگان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نسبت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دربارهء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تعیین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وظیفه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نهایت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طرفی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لطف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مرحمت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عنایت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سایر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شئون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وکلاء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نمایندگان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مقابل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زمین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دربارهء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بندگان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خاطر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یعنی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نیّتشان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خالص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اعضای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افراد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احبّاء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مشکلی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پیش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آید،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همانظور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جدّیت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جدّیت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دربارهء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دربارهء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مردم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مشورت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یختاروا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المختار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پسندیده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عاقبت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اختیار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بکنند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اینطور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پروردگار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عزیز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غفّار</w:t>
      </w:r>
      <w:r>
        <w:rPr>
          <w:rFonts w:cs="Simplified Arabic" w:ascii="Simplified Arabic" w:hAnsi="Simplified Arabic"/>
          <w:sz w:val="28"/>
          <w:szCs w:val="28"/>
          <w:rtl w:val="true"/>
        </w:rPr>
        <w:t>. ((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ایّاکم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تدعوا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هوالمنصوص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>))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مبادا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بگذارید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نصّ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صریح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بترسید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صاحبان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تقریرات در باره کتاب مستطاب اقدس،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86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highlight w:val="yellow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highlight w:val="yellow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/>
      </w:pP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highlight w:val="yellow"/>
          <w:rtl w:val="true"/>
          <w:lang w:bidi="fa-IR"/>
        </w:rPr>
        <w:t>وظائف بیت العدل در هر شهر</w:t>
      </w:r>
      <w:r>
        <w:rPr>
          <w:rFonts w:ascii="Simplified Arabic" w:hAnsi="Simplified Arabic" w:cs="Simplified Arabic"/>
          <w:b/>
          <w:b/>
          <w:bCs/>
          <w:color w:val="FF0000"/>
          <w:sz w:val="36"/>
          <w:sz w:val="36"/>
          <w:szCs w:val="3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numPr>
          <w:ilvl w:val="0"/>
          <w:numId w:val="3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مخاطباً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للأمم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مدينه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عدد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الاسم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الاعظم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زکيّه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مطمئنّه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حضور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چنان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يدی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حاضر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لحاظ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متوجّه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ورود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وکالةً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مصالح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مثلاً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اوّلاً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اهمّ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سرادق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هيکل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آداب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حفظ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ناموس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تعمير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السّياسة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الّتی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جعلها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اسّاً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للبلاد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حرزاً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للعباد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تبليغ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امرالله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بحال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اعصار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ملاحظه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چگونه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ساير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مجری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ولکن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ملتفت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 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مخالف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ظهور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صمدانی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جلاله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مقرّر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مصلحت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ارحم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منکم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الخبير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مذکوره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بشرايط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مقرّره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عامل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بعنايات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خفيّه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امريست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خيرش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اموراتست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اعتنا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ضايع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باطل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بسيار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اطفال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اَبْ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توجّهی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تعليم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اکتساب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ايشان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خواهند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ثمر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موتش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ارجح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همچنين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اغنيا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اعزّه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بعلّت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پيری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بفقر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مبتلا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امورات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متعلّق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لِلّهِ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تفکّر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تدبّر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صوابست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اجرا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بطرف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فؤاد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ناظر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شوند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يقين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ميدانند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مصدر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محض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بمثابه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جناح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باشند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فخر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حکمت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عقل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اخلاق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حسنه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نه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زخارف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کبر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>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  <w:lang w:bidi="ar-JO"/>
        </w:rPr>
        <w:t xml:space="preserve">غرور </w:t>
      </w:r>
    </w:p>
    <w:p>
      <w:pPr>
        <w:pStyle w:val="Normal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لوح بیت العدل، گنجینه حدود و احکام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214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28"/>
          <w:szCs w:val="28"/>
          <w:lang w:bidi="fa-IR"/>
        </w:rPr>
      </w:pPr>
      <w:r>
        <w:rPr>
          <w:rFonts w:cs="Simplified Arabic" w:ascii="Simplified Arabic" w:hAnsi="Simplified Arabic"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