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44"/>
          <w:szCs w:val="44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lang w:bidi="fa-IR"/>
        </w:rPr>
        <w:t>14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lightGray"/>
          <w:rtl w:val="true"/>
          <w:lang w:bidi="fa-IR"/>
        </w:rPr>
        <w:t>معاشرت باجمیع احزاب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sz w:val="20"/>
          <w:szCs w:val="20"/>
          <w:rtl w:val="true"/>
          <w:lang w:bidi="fa-IR"/>
        </w:rPr>
      </w:r>
    </w:p>
    <w:p>
      <w:pPr>
        <w:pStyle w:val="PlainText"/>
        <w:numPr>
          <w:ilvl w:val="0"/>
          <w:numId w:val="4"/>
        </w:numPr>
        <w:bidi w:val="1"/>
        <w:ind w:left="720" w:right="0" w:hanging="360"/>
        <w:jc w:val="both"/>
        <w:rPr/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عاشروا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بالرّوح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والرّيحان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ليجدوا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منكم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تأخذكم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حميّة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الجاهليّة 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البريّة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ويعود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لمبدء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ومرجع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Simplified Arabic" w:hAnsi="Simplified Arabic" w:cs="Simplified Arabic"/>
          <w:b/>
          <w:b/>
          <w:bCs/>
          <w:sz w:val="28"/>
          <w:sz w:val="28"/>
          <w:szCs w:val="28"/>
          <w:rtl w:val="true"/>
          <w:lang w:bidi="fa-IR"/>
        </w:rPr>
        <w:t xml:space="preserve"> </w:t>
      </w:r>
    </w:p>
    <w:p>
      <w:pPr>
        <w:pStyle w:val="PlainText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144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72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معاشرت با اديان است بروح و ريحان و اظهار ما اتی به مکلّم الطّور  و انصاف در امور  اصحاب صفا و وفا بايد با جميع اهل عالم بروح و ريحان معاشرت نمايند چه که معاشرت سبب اتّحاد و اتّفاق بوده و هست و اتّحاد و اتّفاق سبب نظام عالم و حيات امم است طوبی از برای نفوسی که بحبل شفقت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رأفت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متمسّکند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ضغينه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بغضا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فارغ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آزاد </w:t>
      </w:r>
    </w:p>
    <w:p>
      <w:pPr>
        <w:pStyle w:val="PlainText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لوح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طرازات، طراز دوم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36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اذن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احزاب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برَوح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رَيحان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720" w:right="0" w:hanging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لوح بشارات، بشارت دوم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lang w:bidi="fa-IR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  <w:sz w:val="28"/>
      <w:szCs w:val="28"/>
      <w:lang w:bidi="fa-IR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