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معروضه جناب طاهره به ملا حسين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>(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باب الباب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جناب طاهره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قُرَّة العين </w:t>
            </w:r>
          </w:p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فاطمة بنت محمد صالح برغانى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1817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1852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268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ملا حسين بشروئى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 اللّه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b/>
          <w:b/>
          <w:bCs/>
          <w:color w:val="000000"/>
          <w:sz w:val="36"/>
          <w:sz w:val="36"/>
          <w:szCs w:val="36"/>
          <w:rtl w:val="true"/>
        </w:rPr>
        <w:t xml:space="preserve"> الجواد المحسن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 من 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لام على الّذي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ليه يرجع حكم 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 والس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من ساحة قدسه على الّذي استخلصه لنفسه وطه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ره عن الد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لالة إلى غيره حقيقة العز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ومعدن 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 والس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 المشرق منه والل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امع عنه هو الّذي هو عنه ولا فرق بينه وهو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ه نفسه وجنسه ومفر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 كربه وقاض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دينه وينبوع الجلالة ومظهر القدره ومعدن الس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لام ومنبع الكرامة والفخام والت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قديس المتشعشع والص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لوة المتلامع من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حجاب المرتفع على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ذين سبقوا بال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جابة ونظروا بالد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راية ووصلوا إلى بابه وعرفوا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جنابه فماتوا بفنائه وما يشعرون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يبعثون بل دخلوا لج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ة ولا يرى لهم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وصف دون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نفسهم العلية وهم بعين اللّه ناظرون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صلوات عليهم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وتعالى شأن مولاهم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ا يصفون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للّه الّذي هدانا للذ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وما 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لنهتد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لو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هدانا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باللّه ادخل وباللّه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نطق وباللّه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قوم بين 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 ولا حول ولا 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العظيم سبحان الّذي تفض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على هذه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يحصى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صعدها فوق طور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والبهاء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راها من آيات المشرقة من آية وجهه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الأعلى والحمد 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انجذبن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ساحة قدسه وشر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بطلعة ذكره وانغمسن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طمطام 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ظر إلى غيره له الحمد حمدا شعشعاني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وله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 شكرا متعاليا سرمداني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 اللّه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وذلك المقام العظمى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 لو لا يمسكن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فضله لكنت في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الحضور معدوما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وكهف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ومعتمد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من 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جلالتك عن البيان وعظم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شرافتك عن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باب معرفتكم مسدود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ومفتوح لمن هو واقف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بباب البيان وناظر بعين العيان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قد 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ركم عن المثلي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هكم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سكم عن الاقتران طوبى ثمّ طوبى لمن فات بفنائكم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حيى بماء الّذي 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سماء ثنائكم طوبى لمن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سبقه العناية ووفد على بساط جلالكم ونظر إلى آثار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جمالكم وسمع نداء الورقاء على دوحات سدرة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‌المنتهى في فضلكم وبهائكم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ما في علم ربّي فما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جلى ذكركم ذكركم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شأنكم شأنكم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قدركم قدركم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 روح القدس في جنان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اغورة من حدائق باكورة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وبكم نزل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وبكم ظهر كتاب مسطور في رق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منشور عليكم سلام 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الغفور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 عهد 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تكم من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الوجود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طاعتكم على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برز في عالم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هود يا سيّدي ومولا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استغفر اللّه العظيم من الاقتران بوصفكم والت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مطلع ذكركم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في علم ربّي جذ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وفضلك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واللّه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نفس عند طلعتك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تحر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في محضرك واسئل اللّه العفو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جودك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روح أهل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وح فداكم يا دليل المتحي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رين يا كنز المفتقرين يا حصن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العدل المبين وباب صفيه وحبيبه 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 يوم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لسان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دعوك وقد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خرست المعاص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لسان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لقاك وقد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خلقت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نوب وجه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دعوك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وكيف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دعوك وأنت أنت وكيف كنت ناطقا عند ساحة قدسك حين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وجود لذكر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لديك 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 كنت صامتا تلقاء وجهك وقد انقطع دعوة 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وكيف كنت ساكتا وقد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حرقن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ازلة من مجر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آيتك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ما هذه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داء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اطعة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 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 وما هذا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ور الّذي تشعشع من طراز القدرة والبهاء يا سبحان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بروق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جماله خطف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 واللّه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الغف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قلب باقل من لمح البصر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 بالن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هار يا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 من صاحب هذا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 الّذي يحي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ويميت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حياء الواقفين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الحسبان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من جلالته وشوكته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وعظمته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 قد وجد من نظرته عالم الجبروت وكو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من دعوته آيات الملكوت وخرب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بنقمته بنيان عالم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اسوت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نسوا حظ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وما عرفوا لحنه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الحبيب الّذي هو حجاب بينك وبين المحبوب وباب لمن هو غيب الغيوب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في علم ربّي ما هذا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الّذي قد حرق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ستار وقطع القرار ولا يمهل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وتصدر من عين حرف من كلامه بحور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سبحان اللّه من هذا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لسم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مز المنمنم الّذي اتكأ على بساط القدم ويناد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بصوت عال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نور منير وقدرة قدير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آية اللّه البصير يا 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أ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نوار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نور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وسرّ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الّذي على معرفت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يدور المدار اسمعوا ندائ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عين البيان وشجرة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باب الافتتان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الفرقان الّذي به يمتاز أهل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طمينان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ابحين في لج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الخسران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الميزان الّذي واقف بباب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 والبيان واعرفوا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أهل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العيان من عرفن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فقد عرف مولاه ومن جهلن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فقد جهله ولا ينفعه عمل الّذي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اكتسب في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وجهه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باب الحج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ومقيم المحج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وروح من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مكان فداء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انجذب هذا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بقة إلى طرفه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مرها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صغاء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إلى قوله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اللّه من حسن منطقه وحلاوة نظرته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طلعته حلقة ونظرته نضرة اللّه اللّه قد احرقت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سوى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نظرته الأعلى وقد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 خفي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هو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فرق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وبينه فاعرف لحن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وعل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نور واحد ومن شجرة واحدة فاطبق العالمين واعرف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مزين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الّذي قد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جلسيه حين لا وجود 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نيسه حين لا همس لنفس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سبق لما سبق والفا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لما رتق والس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لما علق والحرف الّذي به استنطق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 الّذي به سكن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كن عنده واللّه ما ظهر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وما برز 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صاحب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فصيل وهو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صاحب الاجمال هو صاحب الوح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صاحب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لهام عند مليك الفعال فقد 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 بالمراد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سيّدي وفتح باب المراد وظهر اسمه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ريف الجواد الحاك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رتبة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ربيع عن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المثان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داد سيّدي سيّدي يا باب الحج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ومتمم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عمة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صلوات اللّه عليك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وتعالى شأن حبيبك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طراز لاح ولمع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شرق وطلع ونطق ورفع وصمت وخشع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لاستنطاق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لائع واستخراج 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غائن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صدق وسمع وكذ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 وطمع صلوات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 وسلامه عليك يا واقف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على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تنجين وحامل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وبرزخ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بين العالمين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كشف الحجاب ورفع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قاب وتلأل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شمس معرفته من وراء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حاب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باب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الباب ومفرق الكتاب يا مفض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غاب المولى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 الخلق فهم المحجوبون بالغيبة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ممتحنون بالص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ورة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هو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اطق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امت 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الحبيب وهو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المحبوب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 وهو المطلوب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ربّي ما فارقته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الّذي وردت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عالم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مكان فهو قد كان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 وهو المستو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عرش البيان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المعط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عميت عين الّذي لا تران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طلعت من بيت نور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مع صورة المطه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رة والهيكل المنو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رة قد كان واحدا 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له 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 سير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مقامات الواحدي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ظهر سرّ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بعد كمال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وبلوغ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تسعة وعشرا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استغفر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ربّي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العظيم من الاقتران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بوصفه والت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عند ساحة مجده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من حيات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نسمات رياض قربك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نشأت وذات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قطرات سماء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ازلة من سحاب مجدك قد ذو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تت صلوات اللّه عليك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وعلى من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بعك هل عرفت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متك سرّ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مامورة بمعرفته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فأطمئنن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بذكرك وانجذبن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ساحة قدسك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طالبتن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بذنوب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طالبن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بكرمك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واللّه قد حرقت من نار دعوته وما بقيت شيئا 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نفسك الّذي هو حامل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لنوره ودال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ظهوره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صلوات اللّه عليك وروح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فداء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فقد اسمع بسمعك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المودعة في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همس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لائع ونطق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رائر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ذكر 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تعالى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عى لنفسه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ريف مقامات فقبلناه وبرز آيات فحملناه وكسر الحدود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قمع بنيان القيود وجعل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 آية واحدة فسمعناه فما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البديع الّذي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ملأ الاصقاع ويأخذ عهد ولاية ذو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القربى ومن هذا الفتى الّذي ما 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العلم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حرفا وقد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خذه لنفسه حبيبا متى هو وهذا المقام العظمى وقد كان معه في هذا العالم بلبس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جارة مشهودا اللّه ربّي آمنت بك وبحبيبك وبولي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جباء وصد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قت رسلك 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لاطاعة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منائك 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باع رسلك بحق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وآلك وبحق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شيعة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تعالى ذكره وجل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ثنائك يا 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من غر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كرمك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نطقن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فضلك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استغفرك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توب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نفسك فأن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لم 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نفسك لم اعرف حبيبك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 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حبيبك لم اعرف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لم 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ضللت عن دين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سيّدي ومولا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صلوات اللّه عليك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اسئل العفو من جنابك وروح من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مكان فداك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للّه رب العالمين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5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معروضه جناب طاهره به ملا حسين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اثر جناب طاهره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265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268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