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-إرث - هر شخصی مختار است هر نوع می خواهد وصيّت نامه نوشته مايملک خود را تقسيم کند، مشروط بر آنکه قراری برای اداء حقوق اللّه و پرداخت ديون خود داده باشد</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هر شخصی مختار است هر نوع می خواهد وصيّت نامه نوشته مايملک خود را تقسيم کند، مشروط بر آنکه قراری برای اداء حقوق اللّه و پرداخت ديون خود داده باشد</w:t>
      </w:r>
    </w:p>
    <w:p>
      <w:pPr>
        <w:pStyle w:val="RtlNormalLow"/>
        <w:bidi/>
      </w:pPr>
      <w:r>
        <w:rPr>
          <w:b/>
          <w:bCs/>
          <w:rtl/>
        </w:rPr>
        <w:t xml:space="preserve">حضرت بهاءالله:</w:t>
      </w:r>
    </w:p>
    <w:p>
      <w:pPr>
        <w:pStyle w:val="RtlNormalLow"/>
        <w:bidi/>
      </w:pPr>
      <w:r>
        <w:rPr>
          <w:rtl/>
        </w:rPr>
        <w:t xml:space="preserve">1 – " سؤال : آيا شخص می تواند در کتاب وصيّت از اموال خود چيزی قرار بدهد که بعد از وفات او در امورات خيريّه صرف شود به غير اداء حقوق اللّه و حقوق ناس يا آنکه جز مخارج کفن و دفن و حمل نعش حقّی ندارد و ما بقی اموال کما فرض اللّه به ورّاث ميرسد.</w:t>
      </w:r>
    </w:p>
    <w:p>
      <w:pPr>
        <w:pStyle w:val="RtlNormalLow"/>
        <w:bidi/>
      </w:pPr>
      <w:r>
        <w:rPr>
          <w:rtl/>
        </w:rPr>
        <w:t xml:space="preserve">جواب : انسان در مال خود مختار است اگر بر اداء حقوق الهی موفّق شود و همچنين حقّ النّاس بر او نباشد آنچه در کتاب وصيّت بنويسد و اقرار و اعتراف نمايد مقبول بوده و هست. قد اذن اللّه له بان يفعل فيما ملّکه اللّه کيف يشآء "</w:t>
      </w:r>
    </w:p>
    <w:p>
      <w:pPr>
        <w:pStyle w:val="RtlNormalLow"/>
        <w:bidi/>
      </w:pPr>
      <w:r>
        <w:rPr>
          <w:rtl/>
        </w:rPr>
        <w:t xml:space="preserve">(رساله سؤال و جواب، 69)</w:t>
      </w:r>
    </w:p>
    <w:p>
      <w:pPr>
        <w:pStyle w:val="RtlNormalLow"/>
        <w:bidi/>
      </w:pPr>
      <w:r>
        <w:rPr>
          <w:b/>
          <w:bCs/>
          <w:rtl/>
        </w:rPr>
        <w:t xml:space="preserve">بیت العدل:</w:t>
      </w:r>
    </w:p>
    <w:p>
      <w:pPr>
        <w:pStyle w:val="RtlNormalLow"/>
        <w:bidi/>
      </w:pPr>
      <w:r>
        <w:rPr>
          <w:rtl/>
        </w:rPr>
        <w:t xml:space="preserve">1 – " احکام مربوط به ارث فقط در صورتی مجری می گردد که شخص متوفّی وصيّت نامه بجا نگذاشته باشد . در کتاب مستطاب اقدس (بند ١٠٩) امر به نوشتن وصيّت نامه نازل گشته است . در جای ديگر صريحاً می فرمايند که هر فردی بر ما يملک خود اختيار تامّ دارد و آزاد است هر طور اراده نمايد وصيّت کند که ارث او بين هر کس ، خواه بهائی يا غير بهائی ، تقسيم شود (سؤال و جواب ، فقره ٦٩). در توقيعی که حسب الامر حضرت وليّ امراللّه صادر شده توضيحات ذيل مندرج است : گر چه احبّاء مجازند در وصيّت نامه ما يملک خويش را به اراده خود تقسيم نمايند، امّا اخلاقاً و وجداناً موظّفند که در نوشتن وصيّت نامه دستور جمال مبارک را در مورد اثرات ثروت در جامعه هميشه در نظر گرفته و آن را مراعات نمايند و از جمع مال به حدّ افراط و تمرکز آن در بين افرادی معدود و يا گروه هائی محدود اجتناب نمايند . (ترجمه) آيه مذکور در کتاب اقدس مقدّمه قسمت مفصّلی است که در طيّ آن جمال قدم جزئيّات احکام ارث را تشريح می فرمايند . در مطالعه اين قسمت بايد در نظر داشت که گرچه چنين بر می آيد که اين حکم در موردی است که شخص متوفّی مرد باشد ولی فی الجمله احکام مزبور در مورد زنان متوفّی نيز قابل اجرا است . اصول احکام ارث که طبق آن دارائی شخص متوفّی بين هفت طبقه (اولاد ، همسر ، پدر ، مادر ، برادران ، خواهران و معلّمين) تقسيم می شود بر پايه احکامی استوار است که حضرت نقطه اولی در کتاب مبارک بيان نازل فرموده‌اند . تفاصيل عمده احکام ارث ، در صورت فقدان وصيّت نامه ،از اين قرار است :</w:t>
      </w:r>
    </w:p>
    <w:p>
      <w:pPr>
        <w:pStyle w:val="RtlNormalLow"/>
        <w:bidi/>
      </w:pPr>
      <w:r>
        <w:rPr>
          <w:rtl/>
        </w:rPr>
        <w:t xml:space="preserve">-١در صورتی که شخص متوفّی ذرّيه داشته و ماترک او شامل خانه مسکونی نيز باشد ، خانه مسکونی به پسر ارشد می رسد (سؤال و جواب فقره ٣٤).</w:t>
      </w:r>
    </w:p>
    <w:p>
      <w:pPr>
        <w:pStyle w:val="RtlNormalLow"/>
        <w:bidi/>
      </w:pPr>
      <w:r>
        <w:rPr>
          <w:rtl/>
        </w:rPr>
        <w:t xml:space="preserve">-٢در صورتی که شخص متوفّی فرزند ذکور نداشته باشد ، دو ثلث خانه مسکونی به ذرّيه دختر و ثلث ديگر به بيت العدل راجع است (سؤال و جواب ، فقرات ٤١ و ٧٢). در باره اينکه در اين مقام مراد بيت العدل اعظم يا بيت العدل محلّی است به يادداشت شماره ٤٢ مراجعه شود . (به يادداشت شماره ٤٤ نيز مراجعه شود.)</w:t>
      </w:r>
    </w:p>
    <w:p>
      <w:pPr>
        <w:pStyle w:val="RtlNormalLow"/>
        <w:bidi/>
      </w:pPr>
      <w:r>
        <w:rPr>
          <w:rtl/>
        </w:rPr>
        <w:t xml:space="preserve">-٣ما بقی دارائی شخص متوفّی بين هفت طبقه ورّاث تقسيم می شود . جزئيّات مربوط به سهم هر گروه در رساله (سؤال و جواب) ، فقره ٥ و جزوه (تلخيص و تدوين حدود و احکام) ، قسمت د ، ١-٣-٣- مندرج است .</w:t>
      </w:r>
    </w:p>
    <w:p>
      <w:pPr>
        <w:pStyle w:val="RtlNormalLow"/>
        <w:bidi/>
      </w:pPr>
      <w:r>
        <w:rPr>
          <w:rtl/>
        </w:rPr>
        <w:t xml:space="preserve">-٤در صورتی که تعداد ورّاث موجود در هر طبقه بيش از يک فرد باشد ، سهم آن طبقه بالسّويّه بين آنها ، اعمّ از زن و مرد ، تقسيم می شود .</w:t>
      </w:r>
    </w:p>
    <w:p>
      <w:pPr>
        <w:pStyle w:val="RtlNormalLow"/>
        <w:bidi/>
      </w:pPr>
      <w:r>
        <w:rPr>
          <w:rtl/>
        </w:rPr>
        <w:t xml:space="preserve">-٥در صورتی که ذرّيه موجود نباشد ، سهم اولاد به بيت العدل راجع است (سؤال و جواب ، فقرات ٧و ٤١) .</w:t>
      </w:r>
    </w:p>
    <w:p>
      <w:pPr>
        <w:pStyle w:val="RtlNormalLow"/>
        <w:bidi/>
      </w:pPr>
      <w:r>
        <w:rPr>
          <w:rtl/>
        </w:rPr>
        <w:t xml:space="preserve">-٦در صورتی که ذرّيه موجود ولی ساير طبقات ورّاث کلّاً يا بعضاً مفقود باشند ، دو ثلث سهام آنان به ذرّيه و ثلث ديگر به بيت العدل راجع است (سؤال و جواب ، فقره ٧).</w:t>
      </w:r>
    </w:p>
    <w:p>
      <w:pPr>
        <w:pStyle w:val="RtlNormalLow"/>
        <w:bidi/>
      </w:pPr>
      <w:r>
        <w:rPr>
          <w:rtl/>
        </w:rPr>
        <w:t xml:space="preserve">-٧در صورت فقدان تمام طبقات مصرّحه ، دو ثلث ماترک به خواهرزاده‌ها و برادرزاده های شخص متوفّی می رسد . اگر آنها نيز نباشند سهمشان به عمّه ، خاله ، عمو و دائی راجع می شود و در صورتی که آنها هم حيات نداشته باشند به فرزندانشان می رسد . در هر حال ثلث باقی مانده به بيت العدل راجع است .</w:t>
      </w:r>
    </w:p>
    <w:p>
      <w:pPr>
        <w:pStyle w:val="RtlNormalLow"/>
        <w:bidi/>
      </w:pPr>
      <w:r>
        <w:rPr>
          <w:rtl/>
        </w:rPr>
        <w:t xml:space="preserve">-٨در صورتی که همه طبقات فوق الذکر مفقود باشند ، تمام دارائی شخص متوفّی به بيت العدل راجع است .</w:t>
      </w:r>
    </w:p>
    <w:p>
      <w:pPr>
        <w:pStyle w:val="RtlNormalLow"/>
        <w:bidi/>
      </w:pPr>
      <w:r>
        <w:rPr>
          <w:rtl/>
        </w:rPr>
        <w:t xml:space="preserve">-٩حضرت بهاءاللّه می فرمايند که نفوس غير مؤمن از والدين يا منسوبين بهائی ارث نمی برند (سؤال و جواب ، فقره ٣٤) . حضرت وليّ امراللّه در توقيعی که حسب الامر مبارک مرقوم گشته چنين می فرمايند : اين امر منحصراً محدود به مواردی است که شخص بهائی بدون وصيّت نامه فوت کند و لاجرم ما ترک او بر طبق کتاب اقدس تقسيم شود . در غير اين صورت فرد بهائی مختار است مايملک خود را به هر شخصی بدون ملاحظه ديانت ببخشد مشروط بر اينکه وصيّت نامه‌ای تنظيم و نيّت خود را تعيين کرده باشد . بنابراين ملاحظه می کنيد که شخص بهائی همواره می تواند برای زوجه يا اولاد و يا منسوبان غير بهائی خود در وصيّت نامه سهمی منظور دارد . (ترجمه)</w:t>
      </w:r>
    </w:p>
    <w:p>
      <w:pPr>
        <w:pStyle w:val="RtlNormalLow"/>
        <w:bidi/>
      </w:pPr>
      <w:r>
        <w:rPr>
          <w:rtl/>
        </w:rPr>
        <w:t xml:space="preserve">جزئيّات مفصّلتر احکام ارث در جزوه (تلخيص و تدوين حدود و احکام) ، قسمت د ، ٣-٣-١تا ١٥-٣-٣ خلاصه شده است " (كتاب اقدس – شرح 38)</w:t>
      </w:r>
    </w:p>
    <w:p>
      <w:pPr>
        <w:pStyle w:val="RtlNormalLow"/>
        <w:bidi/>
      </w:pPr>
      <w:r>
        <w:rPr>
          <w:rtl/>
        </w:rPr>
        <w:t xml:space="preserve">2 – " طبق تعاليم جمال اقدس ابهی احبّاء به نوشتن وصيّت نامه موظّفند و اختيار دارند که دارائی خود را به ميل خويش تقسيم نمايند (يادداشت شماره ٣٨) . حضرت بهاءاللّه در مورد نوشتن وصيّت نامه می فرمايند : انسان در مال خود مختار است ... قد اذن اللّه له بان يفعل فيما ملّکه اللّه کيف يشآء (سؤال و جواب ، فقره ٦٩) . مقرّراتی که در کتاب مستطاب اقدس جهت توزيع ارث وضع گرديده راجع به مواردی است که وصيّت نامه موجود نباشد (يادداشت های شماره ٤٨-٣٨) "</w:t>
      </w:r>
    </w:p>
    <w:p>
      <w:pPr>
        <w:pStyle w:val="RtlNormalLow"/>
        <w:bidi/>
      </w:pPr>
      <w:r>
        <w:rPr>
          <w:rtl/>
        </w:rPr>
        <w:t xml:space="preserve">(كتاب اقدس – شرح 136)</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0max7m2f7btwcdt_0tj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pd9sf517whzofybhx_h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0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0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0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bhn2lugr_sdvg-s7luf_j.png"/></Relationships>
</file>

<file path=word/_rels/footer1.xml.rels><?xml version="1.0" encoding="UTF-8"?><Relationships xmlns="http://schemas.openxmlformats.org/package/2006/relationships"><Relationship Id="rId0" Type="http://schemas.openxmlformats.org/officeDocument/2006/relationships/image" Target="media/mkapzg-hnduy68yh6xtvk.png"/><Relationship Id="rId1" Type="http://schemas.openxmlformats.org/officeDocument/2006/relationships/image" Target="media/itrtwq_zwjhmenyyant6a.png"/></Relationships>
</file>

<file path=word/_rels/footer2.xml.rels><?xml version="1.0" encoding="UTF-8"?><Relationships xmlns="http://schemas.openxmlformats.org/package/2006/relationships"><Relationship Id="rId_0max7m2f7btwcdt_0tju" Type="http://schemas.openxmlformats.org/officeDocument/2006/relationships/hyperlink" Target="https://oceanoflights.org/004-ord-inheritance-15-case-12-fa" TargetMode="External"/><Relationship Id="rIdmpd9sf517whzofybhx_hw" Type="http://schemas.openxmlformats.org/officeDocument/2006/relationships/hyperlink" Target="https://oceanoflights.org" TargetMode="External"/><Relationship Id="rId0" Type="http://schemas.openxmlformats.org/officeDocument/2006/relationships/image" Target="media/p3qrnittt51cxzz_7oxvd.png"/><Relationship Id="rId1" Type="http://schemas.openxmlformats.org/officeDocument/2006/relationships/image" Target="media/dzwvepiv-nzgtobgjs6ls.png"/><Relationship Id="rId2" Type="http://schemas.openxmlformats.org/officeDocument/2006/relationships/image" Target="media/ux-0z9wz-r_j6x3h_qbn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9btsmgbva91q0-y9xfq2.png"/><Relationship Id="rId1" Type="http://schemas.openxmlformats.org/officeDocument/2006/relationships/image" Target="media/fk2l-vuyfjpx6cke8xtwt.png"/></Relationships>
</file>

<file path=word/_rels/header2.xml.rels><?xml version="1.0" encoding="UTF-8"?><Relationships xmlns="http://schemas.openxmlformats.org/package/2006/relationships"><Relationship Id="rId0" Type="http://schemas.openxmlformats.org/officeDocument/2006/relationships/image" Target="media/jzulcpwqghgkoipoiixso.png"/><Relationship Id="rId1" Type="http://schemas.openxmlformats.org/officeDocument/2006/relationships/image" Target="media/w_arp4wos6n07olfry6f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-إرث - هر شخصی مختار است هر نوع می خواهد وصيّت نامه نوشته مايملک خود را تقسيم کند، مشروط بر آنکه قراری برای اداء حقوق اللّه و پرداخت ديون خود داده باشد</dc:title>
  <dc:creator>Ocean of Lights</dc:creator>
  <cp:lastModifiedBy>Ocean of Lights</cp:lastModifiedBy>
  <cp:revision>1</cp:revision>
  <dcterms:created xsi:type="dcterms:W3CDTF">2024-10-29T20:47:13.423Z</dcterms:created>
  <dcterms:modified xsi:type="dcterms:W3CDTF">2024-10-29T20:47:13.423Z</dcterms:modified>
</cp:coreProperties>
</file>

<file path=docProps/custom.xml><?xml version="1.0" encoding="utf-8"?>
<Properties xmlns="http://schemas.openxmlformats.org/officeDocument/2006/custom-properties" xmlns:vt="http://schemas.openxmlformats.org/officeDocument/2006/docPropsVTypes"/>
</file>