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Mendicancy</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9utrwnx3tb3wbi70c_vb_"/>
      <w:r>
        <w:rPr>
          <w:rtl w:val="false"/>
        </w:rPr>
        <w:t xml:space="preserve">Mendicancy</w:t>
      </w:r>
      <w:r>
        <w:br/>
      </w:r>
      <w:r>
        <w:rPr>
          <w:rtl w:val="false"/>
        </w:rPr>
        <w:t xml:space="preserve">(Begging)</w:t>
      </w:r>
    </w:p>
    <w:p>
      <w:pPr>
        <w:pStyle w:val="Normal"/>
        <w:bidi w:val="false"/>
      </w:pPr>
      <w:r>
        <w:rPr>
          <w:i/>
          <w:iCs/>
          <w:rtl w:val="false"/>
        </w:rPr>
        <w:t xml:space="preserve">“It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 </w:t>
      </w:r>
      <w:r>
        <w:rPr>
          <w:rStyle w:val="FootnoteAnchor"/>
        </w:rPr>
        <w:footnoteReference w:id="1"/>
      </w:r>
    </w:p>
    <w:p>
      <w:pPr>
        <w:pStyle w:val="Normal"/>
        <w:bidi w:val="false"/>
      </w:pPr>
      <w:r>
        <w:rPr>
          <w:i/>
          <w:iCs/>
          <w:rtl w:val="false"/>
        </w:rPr>
        <w:t xml:space="preserve">“O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 </w:t>
      </w:r>
      <w:r>
        <w:rPr>
          <w:rStyle w:val="FootnoteAnchor"/>
        </w:rPr>
        <w:footnoteReference w:id="2"/>
      </w:r>
    </w:p>
    <w:p>
      <w:pPr>
        <w:pStyle w:val="Normal"/>
        <w:bidi w:val="false"/>
      </w:pPr>
      <w:r>
        <w:rPr>
          <w:i/>
          <w:iCs/>
          <w:rtl w:val="false"/>
        </w:rPr>
        <w:t xml:space="preserve">“…The most despised of men in the sight of God are those who sit idly and beg…” </w:t>
      </w:r>
      <w:r>
        <w:rPr>
          <w:rStyle w:val="FootnoteAnchor"/>
        </w:rPr>
        <w:footnoteReference w:id="3"/>
      </w:r>
    </w:p>
    <w:p>
      <w:pPr>
        <w:pStyle w:val="Normal"/>
        <w:bidi w:val="false"/>
      </w:pPr>
      <w:r>
        <w:rPr>
          <w:b/>
          <w:bCs/>
          <w:i/>
          <w:iCs/>
          <w:rtl w:val="false"/>
        </w:rPr>
        <w:t xml:space="preserve">“to engage in some occupation</w:t>
      </w:r>
      <w:r>
        <w:br/>
      </w:r>
      <w:r>
        <w:rPr>
          <w:rtl w:val="false"/>
        </w:rPr>
        <w:t xml:space="preserve">
It is obligatory for men and women to engage in a trade or profession. Bahá’u’lláh exalts </w:t>
      </w:r>
      <w:r>
        <w:rPr>
          <w:i/>
          <w:iCs/>
          <w:rtl w:val="false"/>
        </w:rPr>
        <w:t xml:space="preserve">“engagement in such work”</w:t>
      </w:r>
      <w:r>
        <w:rPr>
          <w:rtl w:val="false"/>
        </w:rPr>
        <w:t xml:space="preserve"> to the </w:t>
      </w:r>
      <w:r>
        <w:rPr>
          <w:i/>
          <w:iCs/>
          <w:rtl w:val="false"/>
        </w:rPr>
        <w:t xml:space="preserve">“rank of worship”</w:t>
      </w:r>
      <w:r>
        <w:rPr>
          <w:rtl w:val="false"/>
        </w:rPr>
        <w:t xml:space="preserve"> of God. The spiritual and practical significance of this law, and the mutual responsibility of the individual and society for its implementation are explained in a letter written on behalf of Shoghi Effendi:</w:t>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pStyle w:val="Normal"/>
        <w:bidi w:val="false"/>
      </w:pPr>
      <w:r>
        <w:rPr>
          <w:rtl w:val="false"/>
        </w:rPr>
        <w:t xml:space="preserve">In one of His Tablets, ‘Abdu’lBahá states that </w:t>
      </w:r>
      <w:r>
        <w:rPr>
          <w:b/>
          <w:bCs/>
          <w:i/>
          <w:iCs/>
          <w:rtl w:val="false"/>
        </w:rPr>
        <w:t xml:space="preserve">“if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r>
        <w:rPr>
          <w:rtl w:val="false"/>
        </w:rPr>
        <w:t xml:space="preserve"> (See also note 162 on mendicancy.)</w:t>
      </w:r>
    </w:p>
    <w:p>
      <w:pPr>
        <w:pStyle w:val="Normal"/>
        <w:bidi w:val="false"/>
      </w:pPr>
      <w:r>
        <w:rPr>
          <w:rtl w:val="false"/>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honorable and responsible work of fundamental importance to society.</w:t>
      </w:r>
    </w:p>
    <w:p>
      <w:pPr>
        <w:pStyle w:val="Normal"/>
        <w:bidi w:val="false"/>
      </w:pPr>
      <w:r>
        <w:rPr>
          <w:rtl w:val="false"/>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 </w:t>
      </w:r>
      <w:r>
        <w:rPr>
          <w:rStyle w:val="FootnoteAnchor"/>
        </w:rPr>
        <w:footnoteReference w:id="4"/>
      </w:r>
    </w:p>
    <w:p>
      <w:pPr>
        <w:pStyle w:val="Normal"/>
        <w:bidi w:val="false"/>
      </w:pPr>
      <w:r>
        <w:rPr>
          <w:rtl w:val="false"/>
        </w:rPr>
        <w:t xml:space="preserve">_</w:t>
      </w:r>
      <w:r>
        <w:rPr>
          <w:b/>
          <w:bCs/>
          <w:i/>
          <w:iCs/>
          <w:rtl w:val="false"/>
        </w:rPr>
        <w:t xml:space="preserve">“It is unlawful to beg, and it is forbidden to give to him who beggeth.</w:t>
      </w:r>
      <w:r>
        <w:br/>
      </w:r>
      <w:r>
        <w:rPr>
          <w:rtl w:val="false"/>
        </w:rPr>
        <w:t xml:space="preserve">
In a Tablet ‘Abdu’lBahá expounds the meaning of this verse. He states that </w:t>
      </w:r>
      <w:r>
        <w:rPr>
          <w:i/>
          <w:iCs/>
          <w:rtl w:val="false"/>
        </w:rPr>
        <w:t xml:space="preserve">“mendicancy is forbidden and that giving charity to people who take up begging as their profession is also prohibited.”</w:t>
      </w:r>
      <w:r>
        <w:rPr>
          <w:rtl w:val="false"/>
        </w:rPr>
        <w:t xml:space="preserve"> He further points out in that same Tablet: </w:t>
      </w:r>
      <w:r>
        <w:rPr>
          <w:i/>
          <w:iCs/>
          <w:rtl w:val="false"/>
        </w:rPr>
        <w:t xml:space="preserve">“The object is to uproot mendicancy altogether. However, if a person is incapable of earning a living, is stricken by dire poverty or becometh helpless, then it is incumbent on the wealthy or the Deputies to provide him with a monthly allowance for his subsistence … By ‘Deputies’ is meant the representatives of the people, that is to say the members of the House of Justice.”</w:t>
      </w:r>
    </w:p>
    <w:p>
      <w:pPr>
        <w:pStyle w:val="Normal"/>
        <w:bidi w:val="false"/>
      </w:pPr>
      <w:r>
        <w:rPr>
          <w:rtl w:val="false"/>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 </w:t>
      </w:r>
      <w:r>
        <w:rPr>
          <w:rStyle w:val="FootnoteAnchor"/>
        </w:rPr>
        <w:footnoteReference w:id="5"/>
      </w:r>
    </w:p>
    <w:p>
      <w:pPr>
        <w:pStyle w:val="Normal"/>
        <w:bidi w:val="false"/>
      </w:pPr>
      <w:r>
        <w:rPr>
          <w:rtl w:val="false"/>
        </w:rPr>
        <w:t xml:space="preserve">"We have been asked to share with you the following extract from one of the Tablets of Abdu’l-Baha on the subject of begging:</w:t>
      </w:r>
    </w:p>
    <w:p>
      <w:pPr>
        <w:pStyle w:val="Normal"/>
        <w:bidi w:val="false"/>
      </w:pPr>
      <w:r>
        <w:rPr>
          <w:rtl w:val="false"/>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pStyle w:val="Normal"/>
        <w:bidi w:val="false"/>
      </w:pPr>
      <w:r>
        <w:rPr>
          <w:rtl w:val="false"/>
        </w:rPr>
        <w:t xml:space="preserve">"The Universal House of Justice does not wish to go beyond the elucidation given by the Master in the above passage and wishes, for the time being, to leave any matter not entirely covered by this text to the conscience of individual believers."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igpdfprf1f6jrq-2olsw"/>
      <w:r>
        <w:rPr>
          <w:rtl w:val="false"/>
        </w:rPr>
        <w:t xml:space="preserve">Babi Dispensation</w:t>
      </w:r>
    </w:p>
    <w:p>
      <w:pPr>
        <w:pStyle w:val="Normal"/>
        <w:bidi w:val="false"/>
      </w:pPr>
      <w:r>
        <w:rPr>
          <w:rtl w:val="false"/>
        </w:rPr>
        <w:t xml:space="preserve">The Bab Forbade begging and the giving to them by the individual believers. See Arabic Bayan, Wahid VII, Chapter XVII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1rsyft4ltash7xtvmfx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qzaxsonct6i0u0qlyr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Glad-Tidings, The twelfth Glad-Tidings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the Kitab-i-Aqdas no. 56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162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August 13, 1974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utrwnx3tb3wbi70c_vb_" Type="http://schemas.openxmlformats.org/officeDocument/2006/relationships/hyperlink" Target="#mendicancybrbegging" TargetMode="External"/><Relationship Id="rIdvigpdfprf1f6jrq-2olsw" Type="http://schemas.openxmlformats.org/officeDocument/2006/relationships/hyperlink" Target="#babi-dispensation" TargetMode="External"/><Relationship Id="rId9" Type="http://schemas.openxmlformats.org/officeDocument/2006/relationships/image" Target="media/suullf5nhzg0ieqiihdwr.png"/><Relationship Id="rId10" Type="http://schemas.openxmlformats.org/officeDocument/2006/relationships/image" Target="media/sjm3d219fqwhcfqe2esk5.png"/><Relationship Id="rId11" Type="http://schemas.openxmlformats.org/officeDocument/2006/relationships/image" Target="media/sdlt7ubu6ut86ufyhav0t.png"/></Relationships>
</file>

<file path=word/_rels/footer1.xml.rels><?xml version="1.0" encoding="UTF-8"?><Relationships xmlns="http://schemas.openxmlformats.org/package/2006/relationships"><Relationship Id="rId0" Type="http://schemas.openxmlformats.org/officeDocument/2006/relationships/image" Target="media/4u6ceifmbxtqab3kjnb7i.png"/><Relationship Id="rId1" Type="http://schemas.openxmlformats.org/officeDocument/2006/relationships/image" Target="media/gappcyqbwq7hh0yjp-kao.png"/></Relationships>
</file>

<file path=word/_rels/footer2.xml.rels><?xml version="1.0" encoding="UTF-8"?><Relationships xmlns="http://schemas.openxmlformats.org/package/2006/relationships"><Relationship Id="rIdd1rsyft4ltash7xtvmfxt" Type="http://schemas.openxmlformats.org/officeDocument/2006/relationships/hyperlink" Target="https://oceanoflights.org/005-for-medicancy-en" TargetMode="External"/><Relationship Id="rId-9qzaxsonct6i0u0qlyrp" Type="http://schemas.openxmlformats.org/officeDocument/2006/relationships/hyperlink" Target="https://oceanoflights.org" TargetMode="External"/><Relationship Id="rId0" Type="http://schemas.openxmlformats.org/officeDocument/2006/relationships/image" Target="media/vs4j03izmytr7yohp_wdd.png"/><Relationship Id="rId1" Type="http://schemas.openxmlformats.org/officeDocument/2006/relationships/image" Target="media/wnc8w2yh-tltlpms4hwey.png"/><Relationship Id="rId2" Type="http://schemas.openxmlformats.org/officeDocument/2006/relationships/image" Target="media/4dqllp51ubnx-os4va1b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z35zdjadv8nyq2txfcl9.png"/><Relationship Id="rId1" Type="http://schemas.openxmlformats.org/officeDocument/2006/relationships/image" Target="media/f2axpiwcrntqltdpav-9z.png"/></Relationships>
</file>

<file path=word/_rels/header2.xml.rels><?xml version="1.0" encoding="UTF-8"?><Relationships xmlns="http://schemas.openxmlformats.org/package/2006/relationships"><Relationship Id="rId0" Type="http://schemas.openxmlformats.org/officeDocument/2006/relationships/image" Target="media/13fxjrzq06sltb1g8rdzn.png"/><Relationship Id="rId1" Type="http://schemas.openxmlformats.org/officeDocument/2006/relationships/image" Target="media/9hwh_gjcq8yzurb5p_m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Mendicancy</dc:title>
  <dc:creator>Ocean of Lights</dc:creator>
  <cp:lastModifiedBy>Ocean of Lights</cp:lastModifiedBy>
  <cp:revision>1</cp:revision>
  <dcterms:created xsi:type="dcterms:W3CDTF">2025-05-16T11:07:39.217Z</dcterms:created>
  <dcterms:modified xsi:type="dcterms:W3CDTF">2025-05-16T11:07:39.217Z</dcterms:modified>
</cp:coreProperties>
</file>

<file path=docProps/custom.xml><?xml version="1.0" encoding="utf-8"?>
<Properties xmlns="http://schemas.openxmlformats.org/officeDocument/2006/custom-properties" xmlns:vt="http://schemas.openxmlformats.org/officeDocument/2006/docPropsVTypes"/>
</file>